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CD" w:rsidRDefault="00611FAA" w:rsidP="00651DCD">
      <w:pPr>
        <w:pStyle w:val="Heading1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SUPREME COURT </w:t>
      </w:r>
      <w:r w:rsidR="00651DCD" w:rsidRPr="00014DF5">
        <w:rPr>
          <w:rFonts w:asciiTheme="minorHAnsi" w:hAnsiTheme="minorHAnsi" w:cstheme="minorHAnsi"/>
          <w:sz w:val="28"/>
        </w:rPr>
        <w:t>OF THE</w:t>
      </w:r>
      <w:r>
        <w:rPr>
          <w:rFonts w:asciiTheme="minorHAnsi" w:hAnsiTheme="minorHAnsi" w:cstheme="minorHAnsi"/>
          <w:sz w:val="28"/>
        </w:rPr>
        <w:t xml:space="preserve"> </w:t>
      </w:r>
      <w:r w:rsidR="00651DCD" w:rsidRPr="00014DF5">
        <w:rPr>
          <w:rFonts w:asciiTheme="minorHAnsi" w:hAnsiTheme="minorHAnsi" w:cstheme="minorHAnsi"/>
          <w:sz w:val="28"/>
        </w:rPr>
        <w:t>AUSTRALIAN CAPITAL TERRITORY</w:t>
      </w:r>
    </w:p>
    <w:p w:rsidR="00B84A8F" w:rsidRPr="00B84A8F" w:rsidRDefault="00B84A8F" w:rsidP="00B84A8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ACT MAGISTRATES COURT</w:t>
      </w:r>
    </w:p>
    <w:p w:rsidR="00B84A8F" w:rsidRPr="00B84A8F" w:rsidRDefault="00B84A8F" w:rsidP="00B84A8F"/>
    <w:p w:rsidR="00651DCD" w:rsidRPr="00014DF5" w:rsidRDefault="00651DCD" w:rsidP="00651DCD">
      <w:pPr>
        <w:pStyle w:val="Heading2"/>
        <w:rPr>
          <w:rFonts w:asciiTheme="minorHAnsi" w:hAnsiTheme="minorHAnsi" w:cstheme="minorHAnsi"/>
        </w:rPr>
      </w:pPr>
      <w:r w:rsidRPr="00014DF5">
        <w:rPr>
          <w:rFonts w:asciiTheme="minorHAnsi" w:hAnsiTheme="minorHAnsi" w:cstheme="minorHAnsi"/>
        </w:rPr>
        <w:t>Notice to practitioners</w:t>
      </w:r>
    </w:p>
    <w:p w:rsidR="00B84A8F" w:rsidRPr="00014DF5" w:rsidRDefault="00B84A8F" w:rsidP="00651DCD">
      <w:pPr>
        <w:jc w:val="center"/>
        <w:rPr>
          <w:rFonts w:asciiTheme="minorHAnsi" w:hAnsiTheme="minorHAnsi" w:cstheme="minorHAnsi"/>
          <w:b/>
          <w:bCs/>
        </w:rPr>
      </w:pPr>
    </w:p>
    <w:p w:rsidR="00C5561F" w:rsidRDefault="00EC54E5" w:rsidP="003F58B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OLE_LINK1"/>
      <w:r w:rsidRPr="006368EB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Court Procedures Rules 2006 – </w:t>
      </w:r>
      <w:r w:rsidR="003F58B6">
        <w:rPr>
          <w:rFonts w:asciiTheme="minorHAnsi" w:hAnsiTheme="minorHAnsi" w:cstheme="minorHAnsi"/>
          <w:b/>
          <w:bCs/>
          <w:sz w:val="28"/>
          <w:szCs w:val="28"/>
        </w:rPr>
        <w:t>Amendment 2014</w:t>
      </w:r>
      <w:r w:rsidRPr="006368EB">
        <w:rPr>
          <w:rFonts w:asciiTheme="minorHAnsi" w:hAnsiTheme="minorHAnsi" w:cstheme="minorHAnsi"/>
          <w:b/>
          <w:bCs/>
          <w:sz w:val="28"/>
          <w:szCs w:val="28"/>
        </w:rPr>
        <w:t xml:space="preserve"> (No </w:t>
      </w:r>
      <w:r w:rsidR="003F58B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368EB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:rsidR="003F58B6" w:rsidRDefault="003F58B6" w:rsidP="003F58B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Amendments to approved forms</w:t>
      </w:r>
    </w:p>
    <w:p w:rsidR="003F58B6" w:rsidRPr="00884D54" w:rsidRDefault="003F58B6" w:rsidP="00C5561F">
      <w:pPr>
        <w:rPr>
          <w:rFonts w:asciiTheme="minorHAnsi" w:hAnsiTheme="minorHAnsi" w:cstheme="minorHAnsi"/>
          <w:szCs w:val="24"/>
        </w:rPr>
      </w:pPr>
    </w:p>
    <w:p w:rsidR="00C5561F" w:rsidRPr="00884D54" w:rsidRDefault="00C5561F" w:rsidP="00C5561F">
      <w:pPr>
        <w:jc w:val="both"/>
        <w:rPr>
          <w:rFonts w:asciiTheme="minorHAnsi" w:hAnsiTheme="minorHAnsi" w:cstheme="minorHAnsi"/>
          <w:szCs w:val="24"/>
        </w:rPr>
      </w:pPr>
      <w:r w:rsidRPr="00884D54">
        <w:rPr>
          <w:rFonts w:asciiTheme="minorHAnsi" w:hAnsiTheme="minorHAnsi" w:cstheme="minorHAnsi"/>
          <w:szCs w:val="24"/>
        </w:rPr>
        <w:t>The Rule-Making Committee (currently comprising the Chief Justice, Justice R</w:t>
      </w:r>
      <w:r>
        <w:rPr>
          <w:rFonts w:asciiTheme="minorHAnsi" w:hAnsiTheme="minorHAnsi" w:cstheme="minorHAnsi"/>
          <w:szCs w:val="24"/>
        </w:rPr>
        <w:t>efshauge, Chief Magistrate Walker and Magistrate Campbell</w:t>
      </w:r>
      <w:r w:rsidRPr="00884D54">
        <w:rPr>
          <w:rFonts w:asciiTheme="minorHAnsi" w:hAnsiTheme="minorHAnsi" w:cstheme="minorHAnsi"/>
          <w:szCs w:val="24"/>
        </w:rPr>
        <w:t xml:space="preserve">) may make rules in relation to the practice and procedure of ACT courts and their registries pursuant to section 7 of the </w:t>
      </w:r>
      <w:r w:rsidRPr="00884D54">
        <w:rPr>
          <w:rFonts w:asciiTheme="minorHAnsi" w:hAnsiTheme="minorHAnsi" w:cstheme="minorHAnsi"/>
          <w:i/>
          <w:iCs/>
          <w:szCs w:val="24"/>
        </w:rPr>
        <w:t xml:space="preserve">Court Procedures Act 2004. </w:t>
      </w:r>
      <w:r>
        <w:rPr>
          <w:rFonts w:asciiTheme="minorHAnsi" w:hAnsiTheme="minorHAnsi" w:cstheme="minorHAnsi"/>
          <w:szCs w:val="24"/>
        </w:rPr>
        <w:t>T</w:t>
      </w:r>
      <w:r w:rsidRPr="00884D54">
        <w:rPr>
          <w:rFonts w:asciiTheme="minorHAnsi" w:hAnsiTheme="minorHAnsi" w:cstheme="minorHAnsi"/>
          <w:szCs w:val="24"/>
        </w:rPr>
        <w:t>he Courts and the Joint Rules Advisory Committee have conducted a consultative review of the rules</w:t>
      </w:r>
      <w:r>
        <w:rPr>
          <w:rFonts w:asciiTheme="minorHAnsi" w:hAnsiTheme="minorHAnsi" w:cstheme="minorHAnsi"/>
          <w:szCs w:val="24"/>
        </w:rPr>
        <w:t xml:space="preserve"> which has</w:t>
      </w:r>
      <w:r w:rsidRPr="00884D54">
        <w:rPr>
          <w:rFonts w:asciiTheme="minorHAnsi" w:hAnsiTheme="minorHAnsi" w:cstheme="minorHAnsi"/>
          <w:szCs w:val="24"/>
        </w:rPr>
        <w:t xml:space="preserve"> resulted in the amendments contained in the </w:t>
      </w:r>
      <w:r w:rsidRPr="00884D54">
        <w:rPr>
          <w:rFonts w:asciiTheme="minorHAnsi" w:hAnsiTheme="minorHAnsi" w:cstheme="minorHAnsi"/>
          <w:i/>
          <w:iCs/>
          <w:szCs w:val="24"/>
        </w:rPr>
        <w:t>Court Proce</w:t>
      </w:r>
      <w:r w:rsidR="003F58B6">
        <w:rPr>
          <w:rFonts w:asciiTheme="minorHAnsi" w:hAnsiTheme="minorHAnsi" w:cstheme="minorHAnsi"/>
          <w:i/>
          <w:iCs/>
          <w:szCs w:val="24"/>
        </w:rPr>
        <w:t>dures Amendment Rules 2014 (No 3</w:t>
      </w:r>
      <w:r w:rsidRPr="00884D54">
        <w:rPr>
          <w:rFonts w:asciiTheme="minorHAnsi" w:hAnsiTheme="minorHAnsi" w:cstheme="minorHAnsi"/>
          <w:i/>
          <w:iCs/>
          <w:szCs w:val="24"/>
        </w:rPr>
        <w:t>)</w:t>
      </w:r>
      <w:r w:rsidRPr="00884D54">
        <w:rPr>
          <w:rFonts w:asciiTheme="minorHAnsi" w:hAnsiTheme="minorHAnsi" w:cstheme="minorHAnsi"/>
          <w:szCs w:val="24"/>
        </w:rPr>
        <w:t>.</w:t>
      </w:r>
    </w:p>
    <w:p w:rsidR="00C5561F" w:rsidRDefault="00C5561F" w:rsidP="00C5561F">
      <w:pPr>
        <w:rPr>
          <w:rFonts w:asciiTheme="minorHAnsi" w:hAnsiTheme="minorHAnsi" w:cstheme="minorHAnsi"/>
          <w:szCs w:val="24"/>
        </w:rPr>
      </w:pPr>
    </w:p>
    <w:p w:rsidR="003F58B6" w:rsidRPr="00151C4E" w:rsidRDefault="003F58B6" w:rsidP="003F58B6">
      <w:pPr>
        <w:jc w:val="both"/>
        <w:rPr>
          <w:rFonts w:asciiTheme="minorHAnsi" w:hAnsiTheme="minorHAnsi"/>
        </w:rPr>
      </w:pPr>
      <w:r w:rsidRPr="00151C4E">
        <w:rPr>
          <w:rFonts w:asciiTheme="minorHAnsi" w:hAnsiTheme="minorHAnsi"/>
        </w:rPr>
        <w:t>Rule 455</w:t>
      </w:r>
      <w:r>
        <w:rPr>
          <w:rFonts w:asciiTheme="minorHAnsi" w:hAnsiTheme="minorHAnsi"/>
        </w:rPr>
        <w:t xml:space="preserve"> has been amended to provide</w:t>
      </w:r>
      <w:r w:rsidRPr="00151C4E">
        <w:rPr>
          <w:rFonts w:asciiTheme="minorHAnsi" w:hAnsiTheme="minorHAnsi"/>
        </w:rPr>
        <w:t xml:space="preserve"> that a defendant cannot plead a defence of tender before the proceedings were started unless the defendant has paid the amount tendered into court.</w:t>
      </w:r>
    </w:p>
    <w:p w:rsidR="003F58B6" w:rsidRPr="00151C4E" w:rsidRDefault="003F58B6" w:rsidP="003F58B6">
      <w:pPr>
        <w:jc w:val="both"/>
        <w:rPr>
          <w:rFonts w:asciiTheme="minorHAnsi" w:hAnsiTheme="minorHAnsi"/>
        </w:rPr>
      </w:pPr>
    </w:p>
    <w:p w:rsidR="003F58B6" w:rsidRPr="00151C4E" w:rsidRDefault="003F58B6" w:rsidP="003F58B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new Part 2.10 (O</w:t>
      </w:r>
      <w:r w:rsidRPr="00151C4E">
        <w:rPr>
          <w:rFonts w:asciiTheme="minorHAnsi" w:hAnsiTheme="minorHAnsi"/>
        </w:rPr>
        <w:t xml:space="preserve">ffers of </w:t>
      </w:r>
      <w:r>
        <w:rPr>
          <w:rFonts w:asciiTheme="minorHAnsi" w:hAnsiTheme="minorHAnsi"/>
        </w:rPr>
        <w:t>compromise) has</w:t>
      </w:r>
      <w:r w:rsidRPr="00151C4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replaced the rules dealing with payments into court.  This new part provides a formal procedure for offers of compromise, including specific rules in relation to costs. In particular, rules 1010, 1011 and 1012</w:t>
      </w:r>
      <w:r w:rsidRPr="00151C4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provide, respectively, for circumstances in which</w:t>
      </w:r>
      <w:r w:rsidRPr="00151C4E">
        <w:rPr>
          <w:rFonts w:asciiTheme="minorHAnsi" w:hAnsiTheme="minorHAnsi"/>
        </w:rPr>
        <w:t xml:space="preserve"> an offer is not accepted and the judgment is no less favourable to the plaintiff, </w:t>
      </w:r>
      <w:r>
        <w:rPr>
          <w:rFonts w:asciiTheme="minorHAnsi" w:hAnsiTheme="minorHAnsi"/>
        </w:rPr>
        <w:t>a</w:t>
      </w:r>
      <w:r w:rsidRPr="00151C4E">
        <w:rPr>
          <w:rFonts w:asciiTheme="minorHAnsi" w:hAnsiTheme="minorHAnsi"/>
        </w:rPr>
        <w:t>n offer is not accepted and the judgment is no more favourable to the plaintiff</w:t>
      </w:r>
      <w:r>
        <w:rPr>
          <w:rFonts w:asciiTheme="minorHAnsi" w:hAnsiTheme="minorHAnsi"/>
        </w:rPr>
        <w:t>, and the offer is not accepted and the judgment is no less favourable to the defendant</w:t>
      </w:r>
      <w:r w:rsidRPr="00151C4E">
        <w:rPr>
          <w:rFonts w:asciiTheme="minorHAnsi" w:hAnsiTheme="minorHAnsi"/>
        </w:rPr>
        <w:t>.</w:t>
      </w:r>
    </w:p>
    <w:p w:rsidR="003F58B6" w:rsidRPr="00151C4E" w:rsidRDefault="003F58B6" w:rsidP="003F58B6">
      <w:pPr>
        <w:jc w:val="both"/>
        <w:rPr>
          <w:rFonts w:asciiTheme="minorHAnsi" w:hAnsiTheme="minorHAnsi"/>
        </w:rPr>
      </w:pPr>
    </w:p>
    <w:p w:rsidR="003F58B6" w:rsidRPr="00151C4E" w:rsidRDefault="003F58B6" w:rsidP="003F58B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Rule</w:t>
      </w:r>
      <w:r w:rsidRPr="009457E4">
        <w:rPr>
          <w:rFonts w:asciiTheme="minorHAnsi" w:hAnsiTheme="minorHAnsi"/>
        </w:rPr>
        <w:t xml:space="preserve"> 1013</w:t>
      </w:r>
      <w:r w:rsidRPr="00151C4E">
        <w:rPr>
          <w:rFonts w:asciiTheme="minorHAnsi" w:hAnsiTheme="minorHAnsi"/>
        </w:rPr>
        <w:t xml:space="preserve"> has been relocated as rule 1616</w:t>
      </w:r>
      <w:r>
        <w:rPr>
          <w:rFonts w:asciiTheme="minorHAnsi" w:hAnsiTheme="minorHAnsi"/>
        </w:rPr>
        <w:t>,</w:t>
      </w:r>
      <w:r w:rsidRPr="00151C4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</w:t>
      </w:r>
      <w:r w:rsidRPr="009457E4">
        <w:rPr>
          <w:rFonts w:asciiTheme="minorHAnsi" w:hAnsiTheme="minorHAnsi"/>
        </w:rPr>
        <w:t>ule 1015</w:t>
      </w:r>
      <w:r w:rsidRPr="00151C4E">
        <w:rPr>
          <w:rFonts w:asciiTheme="minorHAnsi" w:hAnsiTheme="minorHAnsi"/>
        </w:rPr>
        <w:t xml:space="preserve"> has been relocated as rule 1617</w:t>
      </w:r>
      <w:r>
        <w:rPr>
          <w:rFonts w:asciiTheme="minorHAnsi" w:hAnsiTheme="minorHAnsi"/>
        </w:rPr>
        <w:t xml:space="preserve"> and </w:t>
      </w:r>
      <w:r w:rsidRPr="009457E4">
        <w:rPr>
          <w:rFonts w:asciiTheme="minorHAnsi" w:hAnsiTheme="minorHAnsi"/>
        </w:rPr>
        <w:t>rule 1017</w:t>
      </w:r>
      <w:r w:rsidRPr="00151C4E">
        <w:rPr>
          <w:rFonts w:asciiTheme="minorHAnsi" w:hAnsiTheme="minorHAnsi"/>
        </w:rPr>
        <w:t xml:space="preserve"> has been relocated as rule 1618.</w:t>
      </w:r>
      <w:r>
        <w:rPr>
          <w:rFonts w:asciiTheme="minorHAnsi" w:hAnsiTheme="minorHAnsi"/>
        </w:rPr>
        <w:t xml:space="preserve">  Consequently, the rules relating to interest (rules 1616 to 1620) have been renumbered as rules 1619 to 1623.</w:t>
      </w:r>
    </w:p>
    <w:p w:rsidR="003F58B6" w:rsidRPr="00151C4E" w:rsidRDefault="003F58B6" w:rsidP="003F58B6">
      <w:pPr>
        <w:jc w:val="both"/>
        <w:rPr>
          <w:rFonts w:asciiTheme="minorHAnsi" w:hAnsiTheme="minorHAnsi"/>
        </w:rPr>
      </w:pPr>
    </w:p>
    <w:p w:rsidR="003F58B6" w:rsidRPr="00151C4E" w:rsidRDefault="003F58B6" w:rsidP="003F58B6">
      <w:pPr>
        <w:jc w:val="both"/>
        <w:rPr>
          <w:rFonts w:asciiTheme="minorHAnsi" w:hAnsiTheme="minorHAnsi"/>
        </w:rPr>
      </w:pPr>
      <w:r w:rsidRPr="009457E4">
        <w:rPr>
          <w:rFonts w:asciiTheme="minorHAnsi" w:hAnsiTheme="minorHAnsi"/>
        </w:rPr>
        <w:t>Rule 3010 (2</w:t>
      </w:r>
      <w:proofErr w:type="gramStart"/>
      <w:r w:rsidRPr="009457E4">
        <w:rPr>
          <w:rFonts w:asciiTheme="minorHAnsi" w:hAnsiTheme="minorHAnsi"/>
        </w:rPr>
        <w:t>)(</w:t>
      </w:r>
      <w:proofErr w:type="gramEnd"/>
      <w:r w:rsidRPr="009457E4">
        <w:rPr>
          <w:rFonts w:asciiTheme="minorHAnsi" w:hAnsiTheme="minorHAnsi"/>
        </w:rPr>
        <w:t>j)</w:t>
      </w:r>
      <w:r>
        <w:rPr>
          <w:rFonts w:asciiTheme="minorHAnsi" w:hAnsiTheme="minorHAnsi"/>
        </w:rPr>
        <w:t xml:space="preserve"> and (k) (Grant</w:t>
      </w:r>
      <w:r w:rsidRPr="009457E4">
        <w:rPr>
          <w:rFonts w:asciiTheme="minorHAnsi" w:hAnsiTheme="minorHAnsi"/>
        </w:rPr>
        <w:t xml:space="preserve"> of representation </w:t>
      </w:r>
      <w:r>
        <w:rPr>
          <w:rFonts w:asciiTheme="minorHAnsi" w:hAnsiTheme="minorHAnsi"/>
        </w:rPr>
        <w:t>– supporting affidavit for application</w:t>
      </w:r>
      <w:r w:rsidRPr="009457E4">
        <w:rPr>
          <w:rFonts w:asciiTheme="minorHAnsi" w:hAnsiTheme="minorHAnsi"/>
        </w:rPr>
        <w:t xml:space="preserve">) </w:t>
      </w:r>
      <w:r w:rsidRPr="00151C4E">
        <w:rPr>
          <w:rFonts w:asciiTheme="minorHAnsi" w:hAnsiTheme="minorHAnsi"/>
        </w:rPr>
        <w:t xml:space="preserve">has been amended to cover entry into a civil union (under the </w:t>
      </w:r>
      <w:r w:rsidRPr="00151C4E">
        <w:rPr>
          <w:rFonts w:asciiTheme="minorHAnsi" w:hAnsiTheme="minorHAnsi"/>
          <w:i/>
          <w:iCs/>
        </w:rPr>
        <w:t>Civil Unions Act 2012</w:t>
      </w:r>
      <w:r w:rsidRPr="00151C4E">
        <w:rPr>
          <w:rFonts w:asciiTheme="minorHAnsi" w:hAnsiTheme="minorHAnsi"/>
        </w:rPr>
        <w:t xml:space="preserve">) or civil partnership (under the </w:t>
      </w:r>
      <w:r w:rsidRPr="00151C4E">
        <w:rPr>
          <w:rFonts w:asciiTheme="minorHAnsi" w:hAnsiTheme="minorHAnsi"/>
          <w:i/>
          <w:iCs/>
        </w:rPr>
        <w:t>Domestic Relationships Act 1994</w:t>
      </w:r>
      <w:r w:rsidRPr="00151C4E">
        <w:rPr>
          <w:rFonts w:asciiTheme="minorHAnsi" w:hAnsiTheme="minorHAnsi"/>
        </w:rPr>
        <w:t xml:space="preserve">, previously under the </w:t>
      </w:r>
      <w:r w:rsidRPr="00151C4E">
        <w:rPr>
          <w:rFonts w:asciiTheme="minorHAnsi" w:hAnsiTheme="minorHAnsi"/>
          <w:i/>
          <w:iCs/>
        </w:rPr>
        <w:t>Civil Partnerships Act 2008</w:t>
      </w:r>
      <w:r w:rsidRPr="00151C4E">
        <w:rPr>
          <w:rFonts w:asciiTheme="minorHAnsi" w:hAnsiTheme="minorHAnsi"/>
        </w:rPr>
        <w:t xml:space="preserve">), in addition to marriage. </w:t>
      </w:r>
      <w:r>
        <w:rPr>
          <w:rFonts w:asciiTheme="minorHAnsi" w:hAnsiTheme="minorHAnsi"/>
        </w:rPr>
        <w:t xml:space="preserve"> </w:t>
      </w:r>
      <w:r w:rsidRPr="00151C4E">
        <w:rPr>
          <w:rFonts w:asciiTheme="minorHAnsi" w:hAnsiTheme="minorHAnsi"/>
        </w:rPr>
        <w:t xml:space="preserve">The reason for this is that entry </w:t>
      </w:r>
      <w:r>
        <w:rPr>
          <w:rFonts w:asciiTheme="minorHAnsi" w:hAnsiTheme="minorHAnsi"/>
        </w:rPr>
        <w:t>in</w:t>
      </w:r>
      <w:r w:rsidRPr="00151C4E">
        <w:rPr>
          <w:rFonts w:asciiTheme="minorHAnsi" w:hAnsiTheme="minorHAnsi"/>
        </w:rPr>
        <w:t xml:space="preserve">to and exit from civil unions and civil partnerships </w:t>
      </w:r>
      <w:r w:rsidRPr="009457E4">
        <w:rPr>
          <w:rFonts w:asciiTheme="minorHAnsi" w:hAnsiTheme="minorHAnsi"/>
        </w:rPr>
        <w:t>have the same effects on a will as marriage does</w:t>
      </w:r>
      <w:r w:rsidRPr="00151C4E">
        <w:rPr>
          <w:rFonts w:asciiTheme="minorHAnsi" w:hAnsiTheme="minorHAnsi"/>
        </w:rPr>
        <w:t>. The prescribed form (3.11) has been amended accordingly.</w:t>
      </w:r>
    </w:p>
    <w:p w:rsidR="003F58B6" w:rsidRPr="00151C4E" w:rsidRDefault="003F58B6" w:rsidP="003F58B6">
      <w:pPr>
        <w:jc w:val="both"/>
        <w:rPr>
          <w:rFonts w:asciiTheme="minorHAnsi" w:hAnsiTheme="minorHAnsi"/>
        </w:rPr>
      </w:pPr>
    </w:p>
    <w:p w:rsidR="003F58B6" w:rsidRPr="00151C4E" w:rsidRDefault="003F58B6" w:rsidP="003F58B6">
      <w:pPr>
        <w:jc w:val="both"/>
        <w:rPr>
          <w:rFonts w:asciiTheme="minorHAnsi" w:hAnsiTheme="minorHAnsi"/>
        </w:rPr>
      </w:pPr>
      <w:r w:rsidRPr="00151C4E">
        <w:rPr>
          <w:rFonts w:asciiTheme="minorHAnsi" w:hAnsiTheme="minorHAnsi"/>
        </w:rPr>
        <w:t>A new division 3.3.1 has been introduced in relation to commercial arbitration matters and offers of compromise (rule 3257).  A new division 3.3.2 has been introduced in relation to commercial arbitration matters and payments into court (rule 3263 to rule 3269A).</w:t>
      </w:r>
    </w:p>
    <w:p w:rsidR="003F58B6" w:rsidRPr="00151C4E" w:rsidRDefault="003F58B6" w:rsidP="003F58B6">
      <w:pPr>
        <w:jc w:val="both"/>
        <w:rPr>
          <w:rFonts w:asciiTheme="minorHAnsi" w:hAnsiTheme="minorHAnsi"/>
        </w:rPr>
      </w:pPr>
    </w:p>
    <w:p w:rsidR="003F58B6" w:rsidRPr="00151C4E" w:rsidRDefault="003F58B6" w:rsidP="003F58B6">
      <w:pPr>
        <w:jc w:val="both"/>
        <w:rPr>
          <w:rFonts w:asciiTheme="minorHAnsi" w:hAnsiTheme="minorHAnsi"/>
        </w:rPr>
      </w:pPr>
      <w:r w:rsidRPr="00151C4E">
        <w:rPr>
          <w:rFonts w:asciiTheme="minorHAnsi" w:hAnsiTheme="minorHAnsi"/>
        </w:rPr>
        <w:lastRenderedPageBreak/>
        <w:t xml:space="preserve">Schedule 3 has been updated in relation to prescribed costs in debts, liquidated demands, </w:t>
      </w:r>
      <w:r>
        <w:rPr>
          <w:rFonts w:asciiTheme="minorHAnsi" w:hAnsiTheme="minorHAnsi"/>
        </w:rPr>
        <w:t xml:space="preserve">default judgments, </w:t>
      </w:r>
      <w:r w:rsidRPr="00151C4E">
        <w:rPr>
          <w:rFonts w:asciiTheme="minorHAnsi" w:hAnsiTheme="minorHAnsi"/>
        </w:rPr>
        <w:t>company windings-up, enforcement orders and certificates of registration.</w:t>
      </w:r>
    </w:p>
    <w:p w:rsidR="003F58B6" w:rsidRDefault="003F58B6" w:rsidP="003F58B6">
      <w:pPr>
        <w:jc w:val="both"/>
        <w:rPr>
          <w:rFonts w:asciiTheme="minorHAnsi" w:hAnsiTheme="minorHAnsi"/>
        </w:rPr>
      </w:pPr>
    </w:p>
    <w:p w:rsidR="003F58B6" w:rsidRDefault="003F58B6" w:rsidP="003F58B6">
      <w:pPr>
        <w:jc w:val="both"/>
        <w:rPr>
          <w:rFonts w:asciiTheme="minorHAnsi" w:hAnsiTheme="minorHAnsi"/>
        </w:rPr>
      </w:pPr>
      <w:r w:rsidRPr="00151C4E">
        <w:rPr>
          <w:rFonts w:asciiTheme="minorHAnsi" w:hAnsiTheme="minorHAnsi"/>
        </w:rPr>
        <w:t>Schedule 4 has been updated in relation to the scale of costs a solicitor is entitled to charge for work done or services performed on or after 1 January 2015.</w:t>
      </w:r>
    </w:p>
    <w:p w:rsidR="003F58B6" w:rsidRDefault="003F58B6" w:rsidP="003F58B6">
      <w:pPr>
        <w:jc w:val="both"/>
        <w:rPr>
          <w:rFonts w:asciiTheme="minorHAnsi" w:hAnsiTheme="minorHAnsi"/>
        </w:rPr>
      </w:pPr>
    </w:p>
    <w:p w:rsidR="003B490B" w:rsidRPr="003B490B" w:rsidRDefault="003B490B" w:rsidP="003B490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Approved Form 1 – Coroners c</w:t>
      </w:r>
      <w:r w:rsidRPr="003B490B">
        <w:rPr>
          <w:rFonts w:asciiTheme="minorHAnsi" w:hAnsiTheme="minorHAnsi"/>
        </w:rPr>
        <w:t>ertificate</w:t>
      </w:r>
      <w:r>
        <w:rPr>
          <w:rFonts w:asciiTheme="minorHAnsi" w:hAnsiTheme="minorHAnsi"/>
        </w:rPr>
        <w:t xml:space="preserve"> - has been amended to align the form with consequential amendments to the </w:t>
      </w:r>
      <w:r>
        <w:rPr>
          <w:rFonts w:asciiTheme="minorHAnsi" w:hAnsiTheme="minorHAnsi"/>
          <w:i/>
        </w:rPr>
        <w:t>Coroners Act 1997</w:t>
      </w:r>
      <w:r>
        <w:rPr>
          <w:rFonts w:asciiTheme="minorHAnsi" w:hAnsiTheme="minorHAnsi"/>
        </w:rPr>
        <w:t>.</w:t>
      </w:r>
    </w:p>
    <w:p w:rsidR="003B490B" w:rsidRPr="003B490B" w:rsidRDefault="003B490B" w:rsidP="003B490B">
      <w:pPr>
        <w:jc w:val="both"/>
        <w:rPr>
          <w:rFonts w:asciiTheme="minorHAnsi" w:hAnsiTheme="minorHAnsi"/>
        </w:rPr>
      </w:pPr>
    </w:p>
    <w:p w:rsidR="003B490B" w:rsidRPr="003B490B" w:rsidRDefault="003B490B" w:rsidP="003B490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Approved Form 2.3 – Statement of c</w:t>
      </w:r>
      <w:r w:rsidRPr="003B490B">
        <w:rPr>
          <w:rFonts w:asciiTheme="minorHAnsi" w:hAnsiTheme="minorHAnsi"/>
        </w:rPr>
        <w:t xml:space="preserve">laim </w:t>
      </w:r>
      <w:r>
        <w:rPr>
          <w:rFonts w:asciiTheme="minorHAnsi" w:hAnsiTheme="minorHAnsi"/>
        </w:rPr>
        <w:t>- m</w:t>
      </w:r>
      <w:r w:rsidRPr="003B490B">
        <w:rPr>
          <w:rFonts w:asciiTheme="minorHAnsi" w:hAnsiTheme="minorHAnsi"/>
        </w:rPr>
        <w:t xml:space="preserve">otor </w:t>
      </w:r>
      <w:r>
        <w:rPr>
          <w:rFonts w:asciiTheme="minorHAnsi" w:hAnsiTheme="minorHAnsi"/>
        </w:rPr>
        <w:t>v</w:t>
      </w:r>
      <w:r w:rsidRPr="003B490B">
        <w:rPr>
          <w:rFonts w:asciiTheme="minorHAnsi" w:hAnsiTheme="minorHAnsi"/>
        </w:rPr>
        <w:t xml:space="preserve">ehicle </w:t>
      </w:r>
      <w:r>
        <w:rPr>
          <w:rFonts w:asciiTheme="minorHAnsi" w:hAnsiTheme="minorHAnsi"/>
        </w:rPr>
        <w:t>d</w:t>
      </w:r>
      <w:r w:rsidRPr="003B490B">
        <w:rPr>
          <w:rFonts w:asciiTheme="minorHAnsi" w:hAnsiTheme="minorHAnsi"/>
        </w:rPr>
        <w:t xml:space="preserve">eath or </w:t>
      </w:r>
      <w:r>
        <w:rPr>
          <w:rFonts w:asciiTheme="minorHAnsi" w:hAnsiTheme="minorHAnsi"/>
        </w:rPr>
        <w:t>p</w:t>
      </w:r>
      <w:r w:rsidRPr="003B490B">
        <w:rPr>
          <w:rFonts w:asciiTheme="minorHAnsi" w:hAnsiTheme="minorHAnsi"/>
        </w:rPr>
        <w:t xml:space="preserve">ersonal </w:t>
      </w:r>
      <w:r>
        <w:rPr>
          <w:rFonts w:asciiTheme="minorHAnsi" w:hAnsiTheme="minorHAnsi"/>
        </w:rPr>
        <w:t>i</w:t>
      </w:r>
      <w:r w:rsidRPr="003B490B">
        <w:rPr>
          <w:rFonts w:asciiTheme="minorHAnsi" w:hAnsiTheme="minorHAnsi"/>
        </w:rPr>
        <w:t xml:space="preserve">njury – has been amended to include an acknowledgement that the plaintiff has filed a copy of the mandatory final offer under the </w:t>
      </w:r>
      <w:r w:rsidRPr="003B490B">
        <w:rPr>
          <w:rFonts w:asciiTheme="minorHAnsi" w:hAnsiTheme="minorHAnsi"/>
          <w:i/>
        </w:rPr>
        <w:t>Road Transport (Third Party Insurance) Act 2008</w:t>
      </w:r>
      <w:r w:rsidRPr="003B490B">
        <w:rPr>
          <w:rFonts w:asciiTheme="minorHAnsi" w:hAnsiTheme="minorHAnsi"/>
        </w:rPr>
        <w:t xml:space="preserve"> and that a sealed envelope containing a copy of the offer is filed with the claim.</w:t>
      </w:r>
    </w:p>
    <w:p w:rsidR="003B490B" w:rsidRPr="003B490B" w:rsidRDefault="003B490B" w:rsidP="003B490B">
      <w:pPr>
        <w:jc w:val="both"/>
        <w:rPr>
          <w:rFonts w:asciiTheme="minorHAnsi" w:hAnsiTheme="minorHAnsi"/>
        </w:rPr>
      </w:pPr>
    </w:p>
    <w:p w:rsidR="003B490B" w:rsidRPr="003B490B" w:rsidRDefault="003B490B" w:rsidP="003B490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Approved Form 2.9 – Defence and counterc</w:t>
      </w:r>
      <w:r w:rsidRPr="003B490B">
        <w:rPr>
          <w:rFonts w:asciiTheme="minorHAnsi" w:hAnsiTheme="minorHAnsi"/>
        </w:rPr>
        <w:t xml:space="preserve">laim – has been amended to include an acknowledgement that the defendant/respondent has filed a copy of the mandatory final offer under the </w:t>
      </w:r>
      <w:r w:rsidRPr="003B490B">
        <w:rPr>
          <w:rFonts w:asciiTheme="minorHAnsi" w:hAnsiTheme="minorHAnsi"/>
          <w:i/>
        </w:rPr>
        <w:t>Road Transport (Third Party Insurance) Act 2008</w:t>
      </w:r>
      <w:r w:rsidRPr="003B490B">
        <w:rPr>
          <w:rFonts w:asciiTheme="minorHAnsi" w:hAnsiTheme="minorHAnsi"/>
        </w:rPr>
        <w:t xml:space="preserve"> and that a sealed envelope containing a copy </w:t>
      </w:r>
      <w:r>
        <w:rPr>
          <w:rFonts w:asciiTheme="minorHAnsi" w:hAnsiTheme="minorHAnsi"/>
        </w:rPr>
        <w:t xml:space="preserve">of the offer is filed with the </w:t>
      </w:r>
      <w:r w:rsidRPr="003B490B">
        <w:rPr>
          <w:rFonts w:asciiTheme="minorHAnsi" w:hAnsiTheme="minorHAnsi"/>
        </w:rPr>
        <w:t>defence.</w:t>
      </w:r>
    </w:p>
    <w:p w:rsidR="003F58B6" w:rsidRPr="003B490B" w:rsidRDefault="003F58B6" w:rsidP="003B490B">
      <w:pPr>
        <w:jc w:val="both"/>
        <w:rPr>
          <w:rFonts w:asciiTheme="minorHAnsi" w:hAnsiTheme="minorHAnsi"/>
        </w:rPr>
      </w:pPr>
    </w:p>
    <w:p w:rsidR="003B490B" w:rsidRPr="003B490B" w:rsidRDefault="003B490B" w:rsidP="003B490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Approved Form 3.11 – Affidavit of applicant for probate -</w:t>
      </w:r>
      <w:r w:rsidRPr="003B490B">
        <w:rPr>
          <w:rFonts w:asciiTheme="minorHAnsi" w:hAnsiTheme="minorHAnsi"/>
        </w:rPr>
        <w:t xml:space="preserve"> has been amended to cover entry into a civil union (under the </w:t>
      </w:r>
      <w:r w:rsidRPr="003B490B">
        <w:rPr>
          <w:rFonts w:asciiTheme="minorHAnsi" w:hAnsiTheme="minorHAnsi"/>
          <w:i/>
          <w:iCs/>
        </w:rPr>
        <w:t>Civil Unions Act 2012</w:t>
      </w:r>
      <w:r w:rsidRPr="003B490B">
        <w:rPr>
          <w:rFonts w:asciiTheme="minorHAnsi" w:hAnsiTheme="minorHAnsi"/>
        </w:rPr>
        <w:t xml:space="preserve">) or civil partnership (under the </w:t>
      </w:r>
      <w:r w:rsidRPr="003B490B">
        <w:rPr>
          <w:rFonts w:asciiTheme="minorHAnsi" w:hAnsiTheme="minorHAnsi"/>
          <w:i/>
          <w:iCs/>
        </w:rPr>
        <w:t>Domestic Relationships Act 1994</w:t>
      </w:r>
      <w:r w:rsidRPr="003B490B">
        <w:rPr>
          <w:rFonts w:asciiTheme="minorHAnsi" w:hAnsiTheme="minorHAnsi"/>
        </w:rPr>
        <w:t xml:space="preserve">, previously under the </w:t>
      </w:r>
      <w:r w:rsidRPr="003B490B">
        <w:rPr>
          <w:rFonts w:asciiTheme="minorHAnsi" w:hAnsiTheme="minorHAnsi"/>
          <w:i/>
          <w:iCs/>
        </w:rPr>
        <w:t>Civil Partnerships Act 2008</w:t>
      </w:r>
      <w:r w:rsidRPr="003B490B">
        <w:rPr>
          <w:rFonts w:asciiTheme="minorHAnsi" w:hAnsiTheme="minorHAnsi"/>
        </w:rPr>
        <w:t xml:space="preserve">), in addition to marriage. </w:t>
      </w:r>
    </w:p>
    <w:p w:rsidR="003F58B6" w:rsidRDefault="003F58B6" w:rsidP="003F58B6">
      <w:pPr>
        <w:jc w:val="both"/>
        <w:rPr>
          <w:rFonts w:asciiTheme="minorHAnsi" w:hAnsiTheme="minorHAnsi" w:cstheme="minorHAnsi"/>
          <w:szCs w:val="24"/>
        </w:rPr>
      </w:pPr>
    </w:p>
    <w:p w:rsidR="00C5561F" w:rsidRPr="00AF7596" w:rsidRDefault="00C5561F" w:rsidP="00C5561F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rules will commence on </w:t>
      </w:r>
      <w:r w:rsidR="003F58B6">
        <w:rPr>
          <w:rFonts w:asciiTheme="minorHAnsi" w:hAnsiTheme="minorHAnsi" w:cstheme="minorHAnsi"/>
          <w:szCs w:val="24"/>
        </w:rPr>
        <w:t>1 January 2015</w:t>
      </w:r>
      <w:r>
        <w:rPr>
          <w:rFonts w:asciiTheme="minorHAnsi" w:hAnsiTheme="minorHAnsi" w:cstheme="minorHAnsi"/>
          <w:szCs w:val="24"/>
        </w:rPr>
        <w:t xml:space="preserve">.  </w:t>
      </w:r>
      <w:r>
        <w:rPr>
          <w:rFonts w:asciiTheme="minorHAnsi" w:hAnsiTheme="minorHAnsi" w:cstheme="minorHAnsi"/>
        </w:rPr>
        <w:t xml:space="preserve">The rules </w:t>
      </w:r>
      <w:r w:rsidR="003F58B6">
        <w:rPr>
          <w:rFonts w:asciiTheme="minorHAnsi" w:hAnsiTheme="minorHAnsi" w:cstheme="minorHAnsi"/>
        </w:rPr>
        <w:t xml:space="preserve">and approved forms </w:t>
      </w:r>
      <w:r w:rsidRPr="00014DF5">
        <w:rPr>
          <w:rFonts w:asciiTheme="minorHAnsi" w:hAnsiTheme="minorHAnsi" w:cstheme="minorHAnsi"/>
        </w:rPr>
        <w:t>can be accessed and</w:t>
      </w:r>
      <w:r>
        <w:rPr>
          <w:rFonts w:asciiTheme="minorHAnsi" w:hAnsiTheme="minorHAnsi" w:cstheme="minorHAnsi"/>
        </w:rPr>
        <w:t xml:space="preserve"> downloaded through the </w:t>
      </w:r>
      <w:r w:rsidRPr="00014DF5">
        <w:rPr>
          <w:rFonts w:asciiTheme="minorHAnsi" w:hAnsiTheme="minorHAnsi" w:cstheme="minorHAnsi"/>
        </w:rPr>
        <w:t>Court</w:t>
      </w:r>
      <w:r>
        <w:rPr>
          <w:rFonts w:asciiTheme="minorHAnsi" w:hAnsiTheme="minorHAnsi" w:cstheme="minorHAnsi"/>
        </w:rPr>
        <w:t>s’</w:t>
      </w:r>
      <w:r w:rsidRPr="00014DF5">
        <w:rPr>
          <w:rFonts w:asciiTheme="minorHAnsi" w:hAnsiTheme="minorHAnsi" w:cstheme="minorHAnsi"/>
        </w:rPr>
        <w:t xml:space="preserve"> website – </w:t>
      </w:r>
      <w:r w:rsidRPr="007377EB">
        <w:rPr>
          <w:rFonts w:asciiTheme="minorHAnsi" w:hAnsiTheme="minorHAnsi" w:cstheme="minorHAnsi"/>
          <w:color w:val="0070C0"/>
          <w:u w:val="single"/>
        </w:rPr>
        <w:t>www.courts.act.gov.au</w:t>
      </w:r>
      <w:r w:rsidRPr="00014DF5">
        <w:rPr>
          <w:rFonts w:asciiTheme="minorHAnsi" w:hAnsiTheme="minorHAnsi" w:cstheme="minorHAnsi"/>
        </w:rPr>
        <w:t xml:space="preserve"> or through the ACT Government legislation register – </w:t>
      </w:r>
      <w:hyperlink r:id="rId7" w:history="1">
        <w:r w:rsidRPr="00014DF5">
          <w:rPr>
            <w:rStyle w:val="Hyperlink"/>
            <w:rFonts w:asciiTheme="minorHAnsi" w:hAnsiTheme="minorHAnsi" w:cstheme="minorHAnsi"/>
          </w:rPr>
          <w:t>www.legislation.act.gov.au</w:t>
        </w:r>
      </w:hyperlink>
      <w:r w:rsidRPr="00014DF5">
        <w:rPr>
          <w:rFonts w:asciiTheme="minorHAnsi" w:hAnsiTheme="minorHAnsi" w:cstheme="minorHAnsi"/>
        </w:rPr>
        <w:t xml:space="preserve">.  </w:t>
      </w:r>
    </w:p>
    <w:p w:rsidR="00C5561F" w:rsidRDefault="00C5561F" w:rsidP="00C5561F">
      <w:pPr>
        <w:jc w:val="both"/>
        <w:rPr>
          <w:rFonts w:asciiTheme="minorHAnsi" w:hAnsiTheme="minorHAnsi" w:cstheme="minorHAnsi"/>
        </w:rPr>
      </w:pPr>
    </w:p>
    <w:p w:rsidR="00C5561F" w:rsidRDefault="00C5561F" w:rsidP="00C5561F">
      <w:pPr>
        <w:jc w:val="both"/>
        <w:rPr>
          <w:rFonts w:asciiTheme="minorHAnsi" w:hAnsiTheme="minorHAnsi" w:cstheme="minorHAnsi"/>
        </w:rPr>
      </w:pPr>
    </w:p>
    <w:p w:rsidR="00C5561F" w:rsidRDefault="00C5561F" w:rsidP="00C5561F">
      <w:pPr>
        <w:jc w:val="both"/>
        <w:rPr>
          <w:rFonts w:asciiTheme="minorHAnsi" w:hAnsiTheme="minorHAnsi" w:cstheme="minorHAnsi"/>
        </w:rPr>
      </w:pPr>
    </w:p>
    <w:p w:rsidR="00C5561F" w:rsidRDefault="00C5561F" w:rsidP="00C5561F">
      <w:pPr>
        <w:jc w:val="both"/>
        <w:rPr>
          <w:rFonts w:asciiTheme="minorHAnsi" w:hAnsiTheme="minorHAnsi" w:cstheme="minorHAnsi"/>
        </w:rPr>
      </w:pPr>
    </w:p>
    <w:p w:rsidR="00C5561F" w:rsidRDefault="00C5561F" w:rsidP="00C5561F">
      <w:pPr>
        <w:jc w:val="both"/>
        <w:rPr>
          <w:rFonts w:asciiTheme="minorHAnsi" w:hAnsiTheme="minorHAnsi" w:cstheme="minorHAnsi"/>
        </w:rPr>
      </w:pPr>
    </w:p>
    <w:p w:rsidR="003F58B6" w:rsidRDefault="003F58B6" w:rsidP="00C5561F">
      <w:pPr>
        <w:jc w:val="both"/>
        <w:rPr>
          <w:rFonts w:asciiTheme="minorHAnsi" w:hAnsiTheme="minorHAnsi" w:cstheme="minorHAnsi"/>
        </w:rPr>
      </w:pPr>
    </w:p>
    <w:p w:rsidR="003F58B6" w:rsidRDefault="003F58B6" w:rsidP="00C5561F">
      <w:pPr>
        <w:jc w:val="both"/>
        <w:rPr>
          <w:rFonts w:asciiTheme="minorHAnsi" w:hAnsiTheme="minorHAnsi" w:cstheme="minorHAnsi"/>
        </w:rPr>
      </w:pPr>
    </w:p>
    <w:p w:rsidR="00C5561F" w:rsidRDefault="00C5561F" w:rsidP="00C5561F">
      <w:pPr>
        <w:jc w:val="both"/>
        <w:rPr>
          <w:rFonts w:asciiTheme="minorHAnsi" w:hAnsiTheme="minorHAnsi" w:cstheme="minorHAnsi"/>
        </w:rPr>
      </w:pPr>
    </w:p>
    <w:p w:rsidR="00C5561F" w:rsidRDefault="00C5561F" w:rsidP="00C5561F">
      <w:pPr>
        <w:jc w:val="both"/>
        <w:rPr>
          <w:rFonts w:asciiTheme="minorHAnsi" w:hAnsiTheme="minorHAnsi" w:cstheme="minorHAnsi"/>
        </w:rPr>
      </w:pPr>
    </w:p>
    <w:p w:rsidR="00C5561F" w:rsidRDefault="003F58B6" w:rsidP="00C5561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 KENNEALY</w:t>
      </w:r>
      <w:r w:rsidR="00C5561F" w:rsidRPr="00014DF5">
        <w:rPr>
          <w:rFonts w:asciiTheme="minorHAnsi" w:hAnsiTheme="minorHAnsi" w:cstheme="minorHAnsi"/>
        </w:rPr>
        <w:tab/>
      </w:r>
      <w:r w:rsidR="00C5561F" w:rsidRPr="00014DF5">
        <w:rPr>
          <w:rFonts w:asciiTheme="minorHAnsi" w:hAnsiTheme="minorHAnsi" w:cstheme="minorHAnsi"/>
        </w:rPr>
        <w:tab/>
      </w:r>
      <w:r w:rsidR="00C5561F" w:rsidRPr="00014DF5">
        <w:rPr>
          <w:rFonts w:asciiTheme="minorHAnsi" w:hAnsiTheme="minorHAnsi" w:cstheme="minorHAnsi"/>
        </w:rPr>
        <w:tab/>
      </w:r>
      <w:r w:rsidR="00C5561F" w:rsidRPr="00014DF5">
        <w:rPr>
          <w:rFonts w:asciiTheme="minorHAnsi" w:hAnsiTheme="minorHAnsi" w:cstheme="minorHAnsi"/>
        </w:rPr>
        <w:tab/>
      </w:r>
      <w:r w:rsidR="00C5561F" w:rsidRPr="00014DF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AMANDA NUTTALL</w:t>
      </w:r>
    </w:p>
    <w:p w:rsidR="00C5561F" w:rsidRDefault="003F58B6" w:rsidP="00C5561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Acting </w:t>
      </w:r>
      <w:r w:rsidR="00C5561F" w:rsidRPr="00014DF5">
        <w:rPr>
          <w:rFonts w:asciiTheme="minorHAnsi" w:hAnsiTheme="minorHAnsi" w:cstheme="minorHAnsi"/>
        </w:rPr>
        <w:t>Registrar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5561F">
        <w:rPr>
          <w:rFonts w:asciiTheme="minorHAnsi" w:hAnsiTheme="minorHAnsi" w:cstheme="minorHAnsi"/>
        </w:rPr>
        <w:t>Registrar</w:t>
      </w:r>
    </w:p>
    <w:p w:rsidR="00C5561F" w:rsidRDefault="00C5561F" w:rsidP="00C5561F">
      <w:pPr>
        <w:jc w:val="both"/>
        <w:rPr>
          <w:rFonts w:asciiTheme="minorHAnsi" w:hAnsiTheme="minorHAnsi" w:cstheme="minorHAnsi"/>
        </w:rPr>
      </w:pPr>
      <w:r w:rsidRPr="00014DF5">
        <w:rPr>
          <w:rFonts w:asciiTheme="minorHAnsi" w:hAnsiTheme="minorHAnsi" w:cstheme="minorHAnsi"/>
        </w:rPr>
        <w:t>ACT Supreme Court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ACT Magistrates Court</w:t>
      </w:r>
    </w:p>
    <w:p w:rsidR="00C5561F" w:rsidRPr="00014DF5" w:rsidRDefault="003F58B6" w:rsidP="00C5561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</w:t>
      </w:r>
      <w:r w:rsidR="0071192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December 2014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23 December </w:t>
      </w:r>
      <w:r w:rsidR="00711925">
        <w:rPr>
          <w:rFonts w:asciiTheme="minorHAnsi" w:hAnsiTheme="minorHAnsi" w:cstheme="minorHAnsi"/>
        </w:rPr>
        <w:t>2014</w:t>
      </w:r>
    </w:p>
    <w:p w:rsidR="00C5561F" w:rsidRDefault="00C5561F" w:rsidP="00C5561F">
      <w:pPr>
        <w:rPr>
          <w:rFonts w:asciiTheme="minorHAnsi" w:hAnsiTheme="minorHAnsi" w:cstheme="minorHAnsi"/>
          <w:szCs w:val="24"/>
        </w:rPr>
      </w:pPr>
    </w:p>
    <w:bookmarkEnd w:id="0"/>
    <w:p w:rsidR="00C5561F" w:rsidRDefault="00C5561F" w:rsidP="00C5561F">
      <w:pPr>
        <w:rPr>
          <w:rFonts w:asciiTheme="minorHAnsi" w:hAnsiTheme="minorHAnsi" w:cstheme="minorHAnsi"/>
          <w:szCs w:val="24"/>
        </w:rPr>
      </w:pPr>
    </w:p>
    <w:sectPr w:rsidR="00C5561F" w:rsidSect="00304220">
      <w:headerReference w:type="even" r:id="rId8"/>
      <w:headerReference w:type="default" r:id="rId9"/>
      <w:pgSz w:w="11907" w:h="16840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8B6" w:rsidRDefault="003F58B6">
      <w:r>
        <w:separator/>
      </w:r>
    </w:p>
  </w:endnote>
  <w:endnote w:type="continuationSeparator" w:id="0">
    <w:p w:rsidR="003F58B6" w:rsidRDefault="003F5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8B6" w:rsidRDefault="003F58B6">
      <w:r>
        <w:separator/>
      </w:r>
    </w:p>
  </w:footnote>
  <w:footnote w:type="continuationSeparator" w:id="0">
    <w:p w:rsidR="003F58B6" w:rsidRDefault="003F5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B6" w:rsidRDefault="00F506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58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8B6" w:rsidRDefault="003F58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B6" w:rsidRDefault="00F506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58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5913">
      <w:rPr>
        <w:rStyle w:val="PageNumber"/>
        <w:noProof/>
      </w:rPr>
      <w:t>2</w:t>
    </w:r>
    <w:r>
      <w:rPr>
        <w:rStyle w:val="PageNumber"/>
      </w:rPr>
      <w:fldChar w:fldCharType="end"/>
    </w:r>
  </w:p>
  <w:p w:rsidR="003F58B6" w:rsidRDefault="003F58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E06D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842D3E"/>
    <w:multiLevelType w:val="hybridMultilevel"/>
    <w:tmpl w:val="0408E5D8"/>
    <w:lvl w:ilvl="0" w:tplc="10F27F10">
      <w:start w:val="1"/>
      <w:numFmt w:val="bullet"/>
      <w:lvlText w:val=""/>
      <w:lvlJc w:val="left"/>
      <w:pPr>
        <w:tabs>
          <w:tab w:val="num" w:pos="684"/>
        </w:tabs>
        <w:ind w:left="684" w:hanging="62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30C6291"/>
    <w:multiLevelType w:val="hybridMultilevel"/>
    <w:tmpl w:val="6FB01C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A03CB4"/>
    <w:multiLevelType w:val="hybridMultilevel"/>
    <w:tmpl w:val="2F4CE39E"/>
    <w:lvl w:ilvl="0" w:tplc="7876C034">
      <w:start w:val="1"/>
      <w:numFmt w:val="lowerLetter"/>
      <w:lvlText w:val="(%1)"/>
      <w:lvlJc w:val="left"/>
      <w:pPr>
        <w:ind w:left="1140" w:hanging="42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563CF"/>
    <w:multiLevelType w:val="hybridMultilevel"/>
    <w:tmpl w:val="CC8A75DC"/>
    <w:lvl w:ilvl="0" w:tplc="BBA08430">
      <w:start w:val="1"/>
      <w:numFmt w:val="lowerRoman"/>
      <w:lvlText w:val="(%1)"/>
      <w:lvlJc w:val="left"/>
      <w:pPr>
        <w:ind w:left="1996" w:hanging="720"/>
      </w:pPr>
    </w:lvl>
    <w:lvl w:ilvl="1" w:tplc="0C090019">
      <w:start w:val="1"/>
      <w:numFmt w:val="lowerLetter"/>
      <w:lvlText w:val="%2."/>
      <w:lvlJc w:val="left"/>
      <w:pPr>
        <w:ind w:left="222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CD7"/>
    <w:rsid w:val="00003EB7"/>
    <w:rsid w:val="00014DF5"/>
    <w:rsid w:val="000D76A0"/>
    <w:rsid w:val="000E025E"/>
    <w:rsid w:val="00124C78"/>
    <w:rsid w:val="00174EC3"/>
    <w:rsid w:val="001775AB"/>
    <w:rsid w:val="001A61C3"/>
    <w:rsid w:val="001E782C"/>
    <w:rsid w:val="00233A8F"/>
    <w:rsid w:val="00270D5E"/>
    <w:rsid w:val="00274B03"/>
    <w:rsid w:val="002B5913"/>
    <w:rsid w:val="00304220"/>
    <w:rsid w:val="00325203"/>
    <w:rsid w:val="00330F0D"/>
    <w:rsid w:val="003B490B"/>
    <w:rsid w:val="003F58B6"/>
    <w:rsid w:val="004249B9"/>
    <w:rsid w:val="00463DF3"/>
    <w:rsid w:val="004F786C"/>
    <w:rsid w:val="005008CD"/>
    <w:rsid w:val="00503A7C"/>
    <w:rsid w:val="00527B00"/>
    <w:rsid w:val="005A7910"/>
    <w:rsid w:val="005C2333"/>
    <w:rsid w:val="005D5611"/>
    <w:rsid w:val="005E27F0"/>
    <w:rsid w:val="00602B9E"/>
    <w:rsid w:val="00611FAA"/>
    <w:rsid w:val="00630E7C"/>
    <w:rsid w:val="00634513"/>
    <w:rsid w:val="006368EB"/>
    <w:rsid w:val="00651DCD"/>
    <w:rsid w:val="00652D96"/>
    <w:rsid w:val="006F6FB3"/>
    <w:rsid w:val="00711925"/>
    <w:rsid w:val="00732691"/>
    <w:rsid w:val="007377EB"/>
    <w:rsid w:val="00755B0E"/>
    <w:rsid w:val="00777796"/>
    <w:rsid w:val="007B2AB3"/>
    <w:rsid w:val="007B406B"/>
    <w:rsid w:val="00817170"/>
    <w:rsid w:val="00817DDC"/>
    <w:rsid w:val="00846216"/>
    <w:rsid w:val="008A344C"/>
    <w:rsid w:val="008E16A4"/>
    <w:rsid w:val="00922100"/>
    <w:rsid w:val="0093305D"/>
    <w:rsid w:val="00964526"/>
    <w:rsid w:val="00A770E3"/>
    <w:rsid w:val="00A901EE"/>
    <w:rsid w:val="00A94B9A"/>
    <w:rsid w:val="00A94BC0"/>
    <w:rsid w:val="00AE0E21"/>
    <w:rsid w:val="00AF7596"/>
    <w:rsid w:val="00B10B21"/>
    <w:rsid w:val="00B14C81"/>
    <w:rsid w:val="00B801F3"/>
    <w:rsid w:val="00B84A8F"/>
    <w:rsid w:val="00B9226F"/>
    <w:rsid w:val="00C5561F"/>
    <w:rsid w:val="00C7111C"/>
    <w:rsid w:val="00C76F30"/>
    <w:rsid w:val="00C80406"/>
    <w:rsid w:val="00C81A37"/>
    <w:rsid w:val="00CE6B11"/>
    <w:rsid w:val="00D2611A"/>
    <w:rsid w:val="00D440E9"/>
    <w:rsid w:val="00D66CD7"/>
    <w:rsid w:val="00D7601E"/>
    <w:rsid w:val="00DB5EBD"/>
    <w:rsid w:val="00DD376C"/>
    <w:rsid w:val="00E16E79"/>
    <w:rsid w:val="00E241CC"/>
    <w:rsid w:val="00E613B5"/>
    <w:rsid w:val="00EC54E5"/>
    <w:rsid w:val="00F40B1C"/>
    <w:rsid w:val="00F50685"/>
    <w:rsid w:val="00F57B75"/>
    <w:rsid w:val="00F77E56"/>
    <w:rsid w:val="00FA7684"/>
    <w:rsid w:val="00FC3322"/>
    <w:rsid w:val="00FD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22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04220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304220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304220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304220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rsid w:val="00304220"/>
    <w:pPr>
      <w:keepLines/>
      <w:spacing w:line="180" w:lineRule="atLeast"/>
      <w:ind w:left="720" w:hanging="720"/>
    </w:pPr>
    <w:rPr>
      <w:rFonts w:ascii="Arial" w:hAnsi="Arial" w:cs="Arial"/>
      <w:spacing w:val="-5"/>
      <w:sz w:val="20"/>
      <w:lang w:val="en-US"/>
    </w:rPr>
  </w:style>
  <w:style w:type="paragraph" w:customStyle="1" w:styleId="CompanyName">
    <w:name w:val="Company Name"/>
    <w:basedOn w:val="Normal"/>
    <w:rsid w:val="00304220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atLeast"/>
    </w:pPr>
    <w:rPr>
      <w:rFonts w:ascii="Arial Black" w:hAnsi="Arial Black"/>
      <w:spacing w:val="-15"/>
      <w:position w:val="-2"/>
      <w:sz w:val="32"/>
      <w:szCs w:val="32"/>
      <w:lang w:val="en-US"/>
    </w:rPr>
  </w:style>
  <w:style w:type="paragraph" w:customStyle="1" w:styleId="DocumentLabel">
    <w:name w:val="Document Label"/>
    <w:basedOn w:val="Normal"/>
    <w:next w:val="Normal"/>
    <w:rsid w:val="00304220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96"/>
      <w:lang w:val="en-US"/>
    </w:rPr>
  </w:style>
  <w:style w:type="paragraph" w:customStyle="1" w:styleId="MessageHeaderLast">
    <w:name w:val="Message Header Last"/>
    <w:basedOn w:val="MessageHeader"/>
    <w:next w:val="BodyText"/>
    <w:rsid w:val="00304220"/>
    <w:pPr>
      <w:pBdr>
        <w:bottom w:val="single" w:sz="6" w:space="15" w:color="auto"/>
      </w:pBdr>
      <w:spacing w:after="320"/>
    </w:pPr>
  </w:style>
  <w:style w:type="character" w:customStyle="1" w:styleId="MessageHeaderLabel">
    <w:name w:val="Message Header Label"/>
    <w:rsid w:val="00304220"/>
    <w:rPr>
      <w:rFonts w:ascii="Arial Black" w:hAnsi="Arial Black"/>
      <w:spacing w:val="-10"/>
      <w:sz w:val="18"/>
      <w:szCs w:val="18"/>
    </w:rPr>
  </w:style>
  <w:style w:type="paragraph" w:styleId="BodyText">
    <w:name w:val="Body Text"/>
    <w:basedOn w:val="Normal"/>
    <w:rsid w:val="00304220"/>
    <w:pPr>
      <w:spacing w:after="120"/>
    </w:pPr>
  </w:style>
  <w:style w:type="paragraph" w:styleId="BodyText2">
    <w:name w:val="Body Text 2"/>
    <w:basedOn w:val="Normal"/>
    <w:rsid w:val="00304220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rsid w:val="00304220"/>
    <w:pPr>
      <w:tabs>
        <w:tab w:val="left" w:pos="1985"/>
        <w:tab w:val="left" w:pos="2552"/>
      </w:tabs>
      <w:ind w:left="4320" w:hanging="432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rsid w:val="00304220"/>
    <w:pPr>
      <w:tabs>
        <w:tab w:val="left" w:pos="1985"/>
        <w:tab w:val="left" w:pos="2268"/>
        <w:tab w:val="left" w:pos="2552"/>
        <w:tab w:val="left" w:pos="2835"/>
        <w:tab w:val="left" w:pos="4536"/>
      </w:tabs>
      <w:ind w:left="4536" w:hanging="4320"/>
      <w:jc w:val="both"/>
    </w:pPr>
    <w:rPr>
      <w:rFonts w:ascii="Arial" w:hAnsi="Arial" w:cs="Arial"/>
    </w:rPr>
  </w:style>
  <w:style w:type="paragraph" w:styleId="Header">
    <w:name w:val="header"/>
    <w:basedOn w:val="Normal"/>
    <w:rsid w:val="003042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4220"/>
  </w:style>
  <w:style w:type="paragraph" w:styleId="Footer">
    <w:name w:val="footer"/>
    <w:basedOn w:val="Normal"/>
    <w:rsid w:val="00304220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304220"/>
    <w:pPr>
      <w:tabs>
        <w:tab w:val="left" w:pos="993"/>
        <w:tab w:val="left" w:pos="1560"/>
      </w:tabs>
      <w:ind w:left="6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651DC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014DF5"/>
    <w:rPr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014DF5"/>
    <w:rPr>
      <w:b/>
      <w:bCs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11FAA"/>
    <w:pPr>
      <w:ind w:left="720"/>
      <w:contextualSpacing/>
    </w:pPr>
    <w:rPr>
      <w:rFonts w:ascii="Arial" w:hAnsi="Arial"/>
      <w:lang w:val="en-GB"/>
    </w:rPr>
  </w:style>
  <w:style w:type="character" w:customStyle="1" w:styleId="charCitHyperlinkItal">
    <w:name w:val="charCitHyperlinkItal"/>
    <w:basedOn w:val="Hyperlink"/>
    <w:uiPriority w:val="1"/>
    <w:rsid w:val="00C5561F"/>
    <w:rPr>
      <w:rFonts w:cs="Times New Roman"/>
      <w:i/>
      <w:color w:val="0000FF" w:themeColor="hyperlink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gislation.act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3621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Justice’s Chambers</vt:lpstr>
    </vt:vector>
  </TitlesOfParts>
  <Company>ACT Government</Company>
  <LinksUpToDate>false</LinksUpToDate>
  <CharactersWithSpaces>4279</CharactersWithSpaces>
  <SharedDoc>false</SharedDoc>
  <HLinks>
    <vt:vector size="12" baseType="variant">
      <vt:variant>
        <vt:i4>8323196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http://www.legislation.act.gov.au/</vt:lpwstr>
      </vt:variant>
      <vt:variant>
        <vt:lpwstr/>
      </vt:variant>
      <vt:variant>
        <vt:i4>1900574</vt:i4>
      </vt:variant>
      <vt:variant>
        <vt:i4>0</vt:i4>
      </vt:variant>
      <vt:variant>
        <vt:i4>0</vt:i4>
      </vt:variant>
      <vt:variant>
        <vt:i4>5</vt:i4>
      </vt:variant>
      <vt:variant>
        <vt:lpwstr>http://www.courts.act.gov.au/supreme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Justice’s Chambers</dc:title>
  <dc:creator>Robyn Erickson</dc:creator>
  <cp:lastModifiedBy>Janine Delfs</cp:lastModifiedBy>
  <cp:revision>2</cp:revision>
  <cp:lastPrinted>2008-09-24T05:30:00Z</cp:lastPrinted>
  <dcterms:created xsi:type="dcterms:W3CDTF">2014-12-24T00:27:00Z</dcterms:created>
  <dcterms:modified xsi:type="dcterms:W3CDTF">2014-12-24T00:27:00Z</dcterms:modified>
</cp:coreProperties>
</file>