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29EB5" w14:textId="2962D575" w:rsidR="00BF0F10" w:rsidRPr="00EC545A" w:rsidRDefault="00585319" w:rsidP="00BF0F10">
      <w:pPr>
        <w:jc w:val="center"/>
        <w:rPr>
          <w:rFonts w:ascii="Arial" w:hAnsi="Arial" w:cs="Arial"/>
          <w:b/>
          <w:sz w:val="28"/>
        </w:rPr>
      </w:pPr>
      <w:r w:rsidRPr="00EC545A">
        <w:rPr>
          <w:rFonts w:ascii="Arial" w:hAnsi="Arial" w:cs="Arial"/>
          <w:b/>
          <w:sz w:val="28"/>
        </w:rPr>
        <w:t>Prosecutors as M</w:t>
      </w:r>
      <w:r w:rsidR="00BF0F10" w:rsidRPr="00EC545A">
        <w:rPr>
          <w:rFonts w:ascii="Arial" w:hAnsi="Arial" w:cs="Arial"/>
          <w:b/>
          <w:sz w:val="28"/>
        </w:rPr>
        <w:t xml:space="preserve">inisters of </w:t>
      </w:r>
      <w:r w:rsidRPr="00EC545A">
        <w:rPr>
          <w:rFonts w:ascii="Arial" w:hAnsi="Arial" w:cs="Arial"/>
          <w:b/>
          <w:sz w:val="28"/>
        </w:rPr>
        <w:t>J</w:t>
      </w:r>
      <w:r w:rsidR="00BF0F10" w:rsidRPr="00EC545A">
        <w:rPr>
          <w:rFonts w:ascii="Arial" w:hAnsi="Arial" w:cs="Arial"/>
          <w:b/>
          <w:sz w:val="28"/>
        </w:rPr>
        <w:t>ustice</w:t>
      </w:r>
    </w:p>
    <w:p w14:paraId="63EF6FB3" w14:textId="77777777" w:rsidR="00BF0F10" w:rsidRPr="00EC545A" w:rsidRDefault="00BF0F10" w:rsidP="00BF0F10">
      <w:pPr>
        <w:jc w:val="center"/>
        <w:rPr>
          <w:rFonts w:ascii="Arial" w:hAnsi="Arial" w:cs="Arial"/>
          <w:i/>
          <w:sz w:val="24"/>
        </w:rPr>
      </w:pPr>
      <w:r w:rsidRPr="00EC545A">
        <w:rPr>
          <w:rFonts w:ascii="Arial" w:hAnsi="Arial" w:cs="Arial"/>
          <w:i/>
          <w:sz w:val="24"/>
        </w:rPr>
        <w:t>Speech delivered at the inaugural annual ACT DPP Dinner</w:t>
      </w:r>
    </w:p>
    <w:p w14:paraId="2F86010C" w14:textId="38242768" w:rsidR="005E6421" w:rsidRPr="00EC545A" w:rsidRDefault="00BF0F10" w:rsidP="005E6421">
      <w:pPr>
        <w:jc w:val="center"/>
        <w:rPr>
          <w:rFonts w:ascii="Arial" w:hAnsi="Arial" w:cs="Arial"/>
          <w:sz w:val="20"/>
        </w:rPr>
      </w:pPr>
      <w:r w:rsidRPr="00EC545A">
        <w:rPr>
          <w:rFonts w:ascii="Arial" w:hAnsi="Arial" w:cs="Arial"/>
          <w:sz w:val="20"/>
        </w:rPr>
        <w:t>Chief Justice Murrell</w:t>
      </w:r>
      <w:r w:rsidR="00585319" w:rsidRPr="00EC545A">
        <w:rPr>
          <w:rStyle w:val="FootnoteReference"/>
          <w:rFonts w:ascii="Arial" w:hAnsi="Arial" w:cs="Arial"/>
          <w:sz w:val="20"/>
        </w:rPr>
        <w:footnoteReference w:customMarkFollows="1" w:id="1"/>
        <w:t>*</w:t>
      </w:r>
    </w:p>
    <w:p w14:paraId="12BE7472" w14:textId="42E2F5B6" w:rsidR="005E6421" w:rsidRPr="00EC545A" w:rsidRDefault="005E6421" w:rsidP="005E6421">
      <w:pPr>
        <w:jc w:val="center"/>
        <w:rPr>
          <w:rFonts w:ascii="Arial" w:hAnsi="Arial" w:cs="Arial"/>
          <w:sz w:val="20"/>
        </w:rPr>
      </w:pPr>
      <w:r w:rsidRPr="00EC545A">
        <w:rPr>
          <w:rFonts w:ascii="Arial" w:hAnsi="Arial" w:cs="Arial"/>
          <w:sz w:val="20"/>
        </w:rPr>
        <w:t>2 August 2019</w:t>
      </w:r>
    </w:p>
    <w:p w14:paraId="471E6132" w14:textId="77777777" w:rsidR="00EC545A" w:rsidRPr="00EC545A" w:rsidRDefault="00EC545A" w:rsidP="005E6421">
      <w:pPr>
        <w:jc w:val="center"/>
        <w:rPr>
          <w:rFonts w:ascii="Arial" w:hAnsi="Arial" w:cs="Arial"/>
        </w:rPr>
      </w:pPr>
    </w:p>
    <w:p w14:paraId="58750918" w14:textId="55BF07F9" w:rsidR="00DC2C01" w:rsidRPr="00EC545A" w:rsidRDefault="00DC2C01" w:rsidP="00BF0F10">
      <w:pPr>
        <w:rPr>
          <w:rFonts w:ascii="Arial" w:hAnsi="Arial" w:cs="Arial"/>
        </w:rPr>
      </w:pPr>
      <w:r w:rsidRPr="00EC545A">
        <w:rPr>
          <w:rFonts w:ascii="Arial" w:hAnsi="Arial" w:cs="Arial"/>
        </w:rPr>
        <w:t xml:space="preserve">I acknowledge the traditional custodians of </w:t>
      </w:r>
      <w:r w:rsidR="00145611" w:rsidRPr="00EC545A">
        <w:rPr>
          <w:rFonts w:ascii="Arial" w:hAnsi="Arial" w:cs="Arial"/>
        </w:rPr>
        <w:t>this land</w:t>
      </w:r>
      <w:r w:rsidR="00E608C0" w:rsidRPr="00EC545A">
        <w:rPr>
          <w:rFonts w:ascii="Arial" w:hAnsi="Arial" w:cs="Arial"/>
        </w:rPr>
        <w:t>.</w:t>
      </w:r>
      <w:r w:rsidR="000D2F2A" w:rsidRPr="00EC545A">
        <w:rPr>
          <w:rFonts w:ascii="Arial" w:hAnsi="Arial" w:cs="Arial"/>
        </w:rPr>
        <w:t xml:space="preserve"> </w:t>
      </w:r>
      <w:r w:rsidR="009C6D42" w:rsidRPr="00EC545A">
        <w:rPr>
          <w:rFonts w:ascii="Arial" w:hAnsi="Arial" w:cs="Arial"/>
        </w:rPr>
        <w:t>T</w:t>
      </w:r>
      <w:r w:rsidR="00E608C0" w:rsidRPr="00EC545A">
        <w:rPr>
          <w:rFonts w:ascii="Arial" w:hAnsi="Arial" w:cs="Arial"/>
        </w:rPr>
        <w:t xml:space="preserve">heir sovereignty over this land </w:t>
      </w:r>
      <w:r w:rsidR="00C54CF3">
        <w:rPr>
          <w:rFonts w:ascii="Arial" w:hAnsi="Arial" w:cs="Arial"/>
        </w:rPr>
        <w:t>has</w:t>
      </w:r>
      <w:r w:rsidR="00E608C0" w:rsidRPr="00EC545A">
        <w:rPr>
          <w:rFonts w:ascii="Arial" w:hAnsi="Arial" w:cs="Arial"/>
        </w:rPr>
        <w:t xml:space="preserve"> never </w:t>
      </w:r>
      <w:r w:rsidR="00C54CF3">
        <w:rPr>
          <w:rFonts w:ascii="Arial" w:hAnsi="Arial" w:cs="Arial"/>
        </w:rPr>
        <w:t xml:space="preserve">been </w:t>
      </w:r>
      <w:r w:rsidR="00E608C0" w:rsidRPr="00EC545A">
        <w:rPr>
          <w:rFonts w:ascii="Arial" w:hAnsi="Arial" w:cs="Arial"/>
        </w:rPr>
        <w:t xml:space="preserve">ceded. I extend my respects </w:t>
      </w:r>
      <w:r w:rsidRPr="00EC545A">
        <w:rPr>
          <w:rFonts w:ascii="Arial" w:hAnsi="Arial" w:cs="Arial"/>
        </w:rPr>
        <w:t>to the</w:t>
      </w:r>
      <w:r w:rsidR="00E608C0" w:rsidRPr="00EC545A">
        <w:rPr>
          <w:rFonts w:ascii="Arial" w:hAnsi="Arial" w:cs="Arial"/>
        </w:rPr>
        <w:t>ir</w:t>
      </w:r>
      <w:r w:rsidRPr="00EC545A">
        <w:rPr>
          <w:rFonts w:ascii="Arial" w:hAnsi="Arial" w:cs="Arial"/>
        </w:rPr>
        <w:t xml:space="preserve"> Elders past, present and emerging.</w:t>
      </w:r>
      <w:r w:rsidR="00EC545A">
        <w:rPr>
          <w:rFonts w:ascii="Arial" w:hAnsi="Arial" w:cs="Arial"/>
        </w:rPr>
        <w:t xml:space="preserve"> </w:t>
      </w:r>
    </w:p>
    <w:p w14:paraId="5BCBA223" w14:textId="48881A97" w:rsidR="00C54CF3" w:rsidRDefault="00BF0F10" w:rsidP="00BF0F10">
      <w:pPr>
        <w:rPr>
          <w:rFonts w:ascii="Arial" w:hAnsi="Arial" w:cs="Arial"/>
        </w:rPr>
      </w:pPr>
      <w:r w:rsidRPr="00EC545A">
        <w:rPr>
          <w:rFonts w:ascii="Arial" w:hAnsi="Arial" w:cs="Arial"/>
        </w:rPr>
        <w:t>Thank you, Mr Director,</w:t>
      </w:r>
      <w:r w:rsidR="00C54CF3">
        <w:rPr>
          <w:rFonts w:ascii="Arial" w:hAnsi="Arial" w:cs="Arial"/>
        </w:rPr>
        <w:t xml:space="preserve"> for inviting me to speak at this</w:t>
      </w:r>
      <w:r w:rsidRPr="00EC545A">
        <w:rPr>
          <w:rFonts w:ascii="Arial" w:hAnsi="Arial" w:cs="Arial"/>
        </w:rPr>
        <w:t xml:space="preserve"> inaugural annual prosecutors’ dinner. </w:t>
      </w:r>
    </w:p>
    <w:p w14:paraId="12A00CB4" w14:textId="2E17FD92" w:rsidR="009C6D42" w:rsidRPr="00EC545A" w:rsidRDefault="00BF0F10" w:rsidP="00BF0F10">
      <w:pPr>
        <w:rPr>
          <w:rFonts w:ascii="Arial" w:hAnsi="Arial" w:cs="Arial"/>
        </w:rPr>
      </w:pPr>
      <w:r w:rsidRPr="00EC545A">
        <w:rPr>
          <w:rFonts w:ascii="Arial" w:hAnsi="Arial" w:cs="Arial"/>
        </w:rPr>
        <w:t>I have been asked to talk about the role of prosecutors as ministers of justice</w:t>
      </w:r>
      <w:r w:rsidR="00FE3072" w:rsidRPr="00EC545A">
        <w:rPr>
          <w:rFonts w:ascii="Arial" w:hAnsi="Arial" w:cs="Arial"/>
        </w:rPr>
        <w:t>.</w:t>
      </w:r>
      <w:r w:rsidR="00EC545A">
        <w:rPr>
          <w:rFonts w:ascii="Arial" w:hAnsi="Arial" w:cs="Arial"/>
        </w:rPr>
        <w:t xml:space="preserve"> </w:t>
      </w:r>
    </w:p>
    <w:p w14:paraId="57A0EB98" w14:textId="4C8FAB18" w:rsidR="005E6421" w:rsidRPr="00EC545A" w:rsidRDefault="009C6D42" w:rsidP="005E6421">
      <w:pPr>
        <w:rPr>
          <w:rFonts w:ascii="Arial" w:hAnsi="Arial" w:cs="Arial"/>
        </w:rPr>
      </w:pPr>
      <w:r w:rsidRPr="00EC545A">
        <w:rPr>
          <w:rFonts w:ascii="Arial" w:hAnsi="Arial" w:cs="Arial"/>
        </w:rPr>
        <w:t xml:space="preserve">The title “ministers of justice” sounds glamorous (if you think that politicians are glamorous or aspire to be a minister with a capital M). </w:t>
      </w:r>
      <w:r w:rsidR="00C54CF3">
        <w:rPr>
          <w:rFonts w:ascii="Arial" w:hAnsi="Arial" w:cs="Arial"/>
        </w:rPr>
        <w:t>Although</w:t>
      </w:r>
      <w:r w:rsidR="005E6421" w:rsidRPr="00EC545A">
        <w:rPr>
          <w:rFonts w:ascii="Arial" w:hAnsi="Arial" w:cs="Arial"/>
        </w:rPr>
        <w:t xml:space="preserve"> prosecutors can be glamorous (and many of those present tonight </w:t>
      </w:r>
      <w:r w:rsidR="005E6421" w:rsidRPr="00EC545A">
        <w:rPr>
          <w:rFonts w:ascii="Arial" w:hAnsi="Arial" w:cs="Arial"/>
          <w:i/>
        </w:rPr>
        <w:t>are</w:t>
      </w:r>
      <w:r w:rsidR="005E6421" w:rsidRPr="00EC545A">
        <w:rPr>
          <w:rFonts w:ascii="Arial" w:hAnsi="Arial" w:cs="Arial"/>
        </w:rPr>
        <w:t xml:space="preserve"> glamorous)</w:t>
      </w:r>
      <w:r w:rsidR="009C55A2" w:rsidRPr="00EC545A">
        <w:rPr>
          <w:rFonts w:ascii="Arial" w:hAnsi="Arial" w:cs="Arial"/>
        </w:rPr>
        <w:t>,</w:t>
      </w:r>
      <w:r w:rsidR="005E6421" w:rsidRPr="00EC545A">
        <w:rPr>
          <w:rFonts w:ascii="Arial" w:hAnsi="Arial" w:cs="Arial"/>
        </w:rPr>
        <w:t xml:space="preserve"> they must also be completely apolitical and independent. </w:t>
      </w:r>
    </w:p>
    <w:p w14:paraId="752EA7FF" w14:textId="0113A2C2" w:rsidR="00BF0F10" w:rsidRPr="00EC545A" w:rsidRDefault="00BF0F10" w:rsidP="00BF0F10">
      <w:pPr>
        <w:rPr>
          <w:rFonts w:ascii="Arial" w:hAnsi="Arial" w:cs="Arial"/>
        </w:rPr>
      </w:pPr>
      <w:r w:rsidRPr="00EC545A">
        <w:rPr>
          <w:rFonts w:ascii="Arial" w:hAnsi="Arial" w:cs="Arial"/>
        </w:rPr>
        <w:t xml:space="preserve">But before we </w:t>
      </w:r>
      <w:r w:rsidR="009C6D42" w:rsidRPr="00EC545A">
        <w:rPr>
          <w:rFonts w:ascii="Arial" w:hAnsi="Arial" w:cs="Arial"/>
        </w:rPr>
        <w:t>talk about</w:t>
      </w:r>
      <w:r w:rsidRPr="00EC545A">
        <w:rPr>
          <w:rFonts w:ascii="Arial" w:hAnsi="Arial" w:cs="Arial"/>
        </w:rPr>
        <w:t xml:space="preserve"> the </w:t>
      </w:r>
      <w:r w:rsidR="009C6D42" w:rsidRPr="00EC545A">
        <w:rPr>
          <w:rFonts w:ascii="Arial" w:hAnsi="Arial" w:cs="Arial"/>
        </w:rPr>
        <w:t>modern, glamorous prosecutor, let’s first travel</w:t>
      </w:r>
      <w:r w:rsidRPr="00EC545A">
        <w:rPr>
          <w:rFonts w:ascii="Arial" w:hAnsi="Arial" w:cs="Arial"/>
        </w:rPr>
        <w:t xml:space="preserve"> back in time, to Victorian England.</w:t>
      </w:r>
    </w:p>
    <w:p w14:paraId="32BDBA1A" w14:textId="33994C31" w:rsidR="005E6421" w:rsidRPr="00EC545A" w:rsidRDefault="005E6421" w:rsidP="00BF0F10">
      <w:pPr>
        <w:rPr>
          <w:rFonts w:ascii="Arial" w:hAnsi="Arial" w:cs="Arial"/>
          <w:b/>
        </w:rPr>
      </w:pPr>
      <w:r w:rsidRPr="00EC545A">
        <w:rPr>
          <w:rFonts w:ascii="Arial" w:hAnsi="Arial" w:cs="Arial"/>
          <w:b/>
        </w:rPr>
        <w:t>A story from Victorian England</w:t>
      </w:r>
    </w:p>
    <w:p w14:paraId="19EFCF69" w14:textId="25496CAE" w:rsidR="00BF0F10" w:rsidRPr="00EC545A" w:rsidRDefault="00BF0F10" w:rsidP="00BF0F10">
      <w:pPr>
        <w:rPr>
          <w:rFonts w:ascii="Arial" w:hAnsi="Arial" w:cs="Arial"/>
        </w:rPr>
      </w:pPr>
      <w:r w:rsidRPr="00EC545A">
        <w:rPr>
          <w:rFonts w:ascii="Arial" w:hAnsi="Arial" w:cs="Arial"/>
        </w:rPr>
        <w:t>The date was 2 June 1865.</w:t>
      </w:r>
      <w:r w:rsidR="00D708BB" w:rsidRPr="00EC545A">
        <w:rPr>
          <w:rFonts w:ascii="Arial" w:hAnsi="Arial" w:cs="Arial"/>
        </w:rPr>
        <w:t xml:space="preserve"> In </w:t>
      </w:r>
      <w:r w:rsidR="009C6D42" w:rsidRPr="00EC545A">
        <w:rPr>
          <w:rFonts w:ascii="Arial" w:hAnsi="Arial" w:cs="Arial"/>
        </w:rPr>
        <w:t>summertime, village cricket was the delight of everyone</w:t>
      </w:r>
      <w:r w:rsidRPr="00EC545A">
        <w:rPr>
          <w:rFonts w:ascii="Arial" w:hAnsi="Arial" w:cs="Arial"/>
        </w:rPr>
        <w:t>.</w:t>
      </w:r>
      <w:r w:rsidRPr="00EC545A">
        <w:rPr>
          <w:rStyle w:val="FootnoteReference"/>
          <w:rFonts w:ascii="Arial" w:hAnsi="Arial" w:cs="Arial"/>
        </w:rPr>
        <w:footnoteReference w:id="2"/>
      </w:r>
      <w:r w:rsidRPr="00EC545A">
        <w:rPr>
          <w:rFonts w:ascii="Arial" w:hAnsi="Arial" w:cs="Arial"/>
        </w:rPr>
        <w:t xml:space="preserve"> </w:t>
      </w:r>
      <w:r w:rsidR="009C6D42" w:rsidRPr="00EC545A">
        <w:rPr>
          <w:rFonts w:ascii="Arial" w:hAnsi="Arial" w:cs="Arial"/>
        </w:rPr>
        <w:t xml:space="preserve">And so was a good drink on a fine summer’s evening. </w:t>
      </w:r>
      <w:r w:rsidRPr="00EC545A">
        <w:rPr>
          <w:rFonts w:ascii="Arial" w:hAnsi="Arial" w:cs="Arial"/>
        </w:rPr>
        <w:t>The tavern in Lewes, Sussex, was</w:t>
      </w:r>
      <w:r w:rsidR="009C6D42" w:rsidRPr="00EC545A">
        <w:rPr>
          <w:rFonts w:ascii="Arial" w:hAnsi="Arial" w:cs="Arial"/>
        </w:rPr>
        <w:t xml:space="preserve"> busy</w:t>
      </w:r>
      <w:r w:rsidRPr="00EC545A">
        <w:rPr>
          <w:rFonts w:ascii="Arial" w:hAnsi="Arial" w:cs="Arial"/>
        </w:rPr>
        <w:t>. The</w:t>
      </w:r>
      <w:r w:rsidR="005513FF" w:rsidRPr="00EC545A">
        <w:rPr>
          <w:rFonts w:ascii="Arial" w:hAnsi="Arial" w:cs="Arial"/>
        </w:rPr>
        <w:t xml:space="preserve"> townsfolk</w:t>
      </w:r>
      <w:r w:rsidRPr="00EC545A">
        <w:rPr>
          <w:rFonts w:ascii="Arial" w:hAnsi="Arial" w:cs="Arial"/>
        </w:rPr>
        <w:t xml:space="preserve"> were joined at the tap-room by the publican’s daughter – then aged fifteen. Everyone was settling in for a</w:t>
      </w:r>
      <w:r w:rsidR="009C6D42" w:rsidRPr="00EC545A">
        <w:rPr>
          <w:rFonts w:ascii="Arial" w:hAnsi="Arial" w:cs="Arial"/>
        </w:rPr>
        <w:t xml:space="preserve"> jolly </w:t>
      </w:r>
      <w:r w:rsidRPr="00EC545A">
        <w:rPr>
          <w:rFonts w:ascii="Arial" w:hAnsi="Arial" w:cs="Arial"/>
        </w:rPr>
        <w:t>night.</w:t>
      </w:r>
    </w:p>
    <w:p w14:paraId="1FF4A6AB" w14:textId="75F52994" w:rsidR="00BF0F10" w:rsidRPr="00EC545A" w:rsidRDefault="005E6421" w:rsidP="00BF0F10">
      <w:pPr>
        <w:rPr>
          <w:rFonts w:ascii="Arial" w:hAnsi="Arial" w:cs="Arial"/>
        </w:rPr>
      </w:pPr>
      <w:r w:rsidRPr="00EC545A">
        <w:rPr>
          <w:rFonts w:ascii="Arial" w:hAnsi="Arial" w:cs="Arial"/>
        </w:rPr>
        <w:t>However, w</w:t>
      </w:r>
      <w:r w:rsidR="00BF0F10" w:rsidRPr="00EC545A">
        <w:rPr>
          <w:rFonts w:ascii="Arial" w:hAnsi="Arial" w:cs="Arial"/>
        </w:rPr>
        <w:t>hat happened next</w:t>
      </w:r>
      <w:r w:rsidRPr="00EC545A">
        <w:rPr>
          <w:rFonts w:ascii="Arial" w:hAnsi="Arial" w:cs="Arial"/>
        </w:rPr>
        <w:t xml:space="preserve"> </w:t>
      </w:r>
      <w:r w:rsidR="00BF0F10" w:rsidRPr="00EC545A">
        <w:rPr>
          <w:rFonts w:ascii="Arial" w:hAnsi="Arial" w:cs="Arial"/>
        </w:rPr>
        <w:t>was far from</w:t>
      </w:r>
      <w:r w:rsidR="009C6D42" w:rsidRPr="00EC545A">
        <w:rPr>
          <w:rFonts w:ascii="Arial" w:hAnsi="Arial" w:cs="Arial"/>
        </w:rPr>
        <w:t xml:space="preserve"> jolly</w:t>
      </w:r>
      <w:r w:rsidR="00BF0F10" w:rsidRPr="00EC545A">
        <w:rPr>
          <w:rFonts w:ascii="Arial" w:hAnsi="Arial" w:cs="Arial"/>
        </w:rPr>
        <w:t>. The publican’s daughter left the tavern at</w:t>
      </w:r>
      <w:r w:rsidR="009C6D42" w:rsidRPr="00EC545A">
        <w:rPr>
          <w:rFonts w:ascii="Arial" w:hAnsi="Arial" w:cs="Arial"/>
        </w:rPr>
        <w:t xml:space="preserve"> about </w:t>
      </w:r>
      <w:r w:rsidR="00BF0F10" w:rsidRPr="00EC545A">
        <w:rPr>
          <w:rFonts w:ascii="Arial" w:hAnsi="Arial" w:cs="Arial"/>
        </w:rPr>
        <w:t xml:space="preserve">half past nine. As she went out into the orchard, one of the townsfolk at the tap-room, Mr </w:t>
      </w:r>
      <w:proofErr w:type="spellStart"/>
      <w:r w:rsidR="00BF0F10" w:rsidRPr="00EC545A">
        <w:rPr>
          <w:rFonts w:ascii="Arial" w:hAnsi="Arial" w:cs="Arial"/>
        </w:rPr>
        <w:t>Puddick</w:t>
      </w:r>
      <w:proofErr w:type="spellEnd"/>
      <w:r w:rsidR="00BF0F10" w:rsidRPr="00EC545A">
        <w:rPr>
          <w:rFonts w:ascii="Arial" w:hAnsi="Arial" w:cs="Arial"/>
        </w:rPr>
        <w:t xml:space="preserve">, suddenly appeared and </w:t>
      </w:r>
      <w:r w:rsidR="00FE3072" w:rsidRPr="00EC545A">
        <w:rPr>
          <w:rFonts w:ascii="Arial" w:hAnsi="Arial" w:cs="Arial"/>
        </w:rPr>
        <w:t xml:space="preserve">grabbed </w:t>
      </w:r>
      <w:r w:rsidR="00BF0F10" w:rsidRPr="00EC545A">
        <w:rPr>
          <w:rFonts w:ascii="Arial" w:hAnsi="Arial" w:cs="Arial"/>
        </w:rPr>
        <w:t xml:space="preserve">her. On her account, she fainted and was </w:t>
      </w:r>
      <w:r w:rsidR="00FE3072" w:rsidRPr="00EC545A">
        <w:rPr>
          <w:rFonts w:ascii="Arial" w:hAnsi="Arial" w:cs="Arial"/>
        </w:rPr>
        <w:t>oblivious to</w:t>
      </w:r>
      <w:r w:rsidR="00BF0F10" w:rsidRPr="00EC545A">
        <w:rPr>
          <w:rFonts w:ascii="Arial" w:hAnsi="Arial" w:cs="Arial"/>
        </w:rPr>
        <w:t xml:space="preserve"> what </w:t>
      </w:r>
      <w:r w:rsidR="00145611" w:rsidRPr="00EC545A">
        <w:rPr>
          <w:rFonts w:ascii="Arial" w:hAnsi="Arial" w:cs="Arial"/>
        </w:rPr>
        <w:t>occurred thereafter</w:t>
      </w:r>
      <w:r w:rsidR="00BF0F10" w:rsidRPr="00EC545A">
        <w:rPr>
          <w:rFonts w:ascii="Arial" w:hAnsi="Arial" w:cs="Arial"/>
        </w:rPr>
        <w:t xml:space="preserve">. </w:t>
      </w:r>
      <w:r w:rsidR="00FE3072" w:rsidRPr="00EC545A">
        <w:rPr>
          <w:rFonts w:ascii="Arial" w:hAnsi="Arial" w:cs="Arial"/>
        </w:rPr>
        <w:t>But when she regained consciousness and</w:t>
      </w:r>
      <w:r w:rsidR="00BF0F10" w:rsidRPr="00EC545A">
        <w:rPr>
          <w:rFonts w:ascii="Arial" w:hAnsi="Arial" w:cs="Arial"/>
        </w:rPr>
        <w:t xml:space="preserve"> made he</w:t>
      </w:r>
      <w:r w:rsidR="005513FF" w:rsidRPr="00EC545A">
        <w:rPr>
          <w:rFonts w:ascii="Arial" w:hAnsi="Arial" w:cs="Arial"/>
        </w:rPr>
        <w:t xml:space="preserve">r way back home, </w:t>
      </w:r>
      <w:r w:rsidR="00145611" w:rsidRPr="00EC545A">
        <w:rPr>
          <w:rFonts w:ascii="Arial" w:hAnsi="Arial" w:cs="Arial"/>
        </w:rPr>
        <w:t>it seemed that</w:t>
      </w:r>
      <w:r w:rsidR="005513FF" w:rsidRPr="00EC545A">
        <w:rPr>
          <w:rFonts w:ascii="Arial" w:hAnsi="Arial" w:cs="Arial"/>
        </w:rPr>
        <w:t xml:space="preserve"> s</w:t>
      </w:r>
      <w:r w:rsidR="00BF0F10" w:rsidRPr="00EC545A">
        <w:rPr>
          <w:rFonts w:ascii="Arial" w:hAnsi="Arial" w:cs="Arial"/>
        </w:rPr>
        <w:t xml:space="preserve">he had fallen victim to a heinous crime. </w:t>
      </w:r>
    </w:p>
    <w:p w14:paraId="07AAB874" w14:textId="5E50597A" w:rsidR="00BF0F10" w:rsidRPr="00EC545A" w:rsidRDefault="00C54CF3" w:rsidP="00BF0F10">
      <w:pPr>
        <w:rPr>
          <w:rFonts w:ascii="Arial" w:hAnsi="Arial" w:cs="Arial"/>
        </w:rPr>
      </w:pPr>
      <w:r>
        <w:rPr>
          <w:rFonts w:ascii="Arial" w:hAnsi="Arial" w:cs="Arial"/>
        </w:rPr>
        <w:t>The next day, t</w:t>
      </w:r>
      <w:r w:rsidR="00BF0F10" w:rsidRPr="00EC545A">
        <w:rPr>
          <w:rFonts w:ascii="Arial" w:hAnsi="Arial" w:cs="Arial"/>
        </w:rPr>
        <w:t xml:space="preserve">he young woman’s parents confronted Mr </w:t>
      </w:r>
      <w:proofErr w:type="spellStart"/>
      <w:r w:rsidR="00BF0F10" w:rsidRPr="00EC545A">
        <w:rPr>
          <w:rFonts w:ascii="Arial" w:hAnsi="Arial" w:cs="Arial"/>
        </w:rPr>
        <w:t>Puddick</w:t>
      </w:r>
      <w:proofErr w:type="spellEnd"/>
      <w:r w:rsidR="00BF0F10" w:rsidRPr="00EC545A">
        <w:rPr>
          <w:rFonts w:ascii="Arial" w:hAnsi="Arial" w:cs="Arial"/>
        </w:rPr>
        <w:t xml:space="preserve"> and accused him of “ruining” their daughter. However, no medical examination was undertaken on the young woman until ten days later. </w:t>
      </w:r>
      <w:r w:rsidR="005513FF" w:rsidRPr="00EC545A">
        <w:rPr>
          <w:rFonts w:ascii="Arial" w:hAnsi="Arial" w:cs="Arial"/>
        </w:rPr>
        <w:t>W</w:t>
      </w:r>
      <w:r w:rsidR="00BF0F10" w:rsidRPr="00EC545A">
        <w:rPr>
          <w:rFonts w:ascii="Arial" w:hAnsi="Arial" w:cs="Arial"/>
        </w:rPr>
        <w:t xml:space="preserve">hen the doctor finally came, he found evidence of sexual assault. </w:t>
      </w:r>
      <w:r w:rsidR="00145611" w:rsidRPr="00EC545A">
        <w:rPr>
          <w:rFonts w:ascii="Arial" w:hAnsi="Arial" w:cs="Arial"/>
        </w:rPr>
        <w:t>He</w:t>
      </w:r>
      <w:r w:rsidR="00BF0F10" w:rsidRPr="00EC545A">
        <w:rPr>
          <w:rFonts w:ascii="Arial" w:hAnsi="Arial" w:cs="Arial"/>
        </w:rPr>
        <w:t xml:space="preserve"> als</w:t>
      </w:r>
      <w:r w:rsidR="00FE3072" w:rsidRPr="00EC545A">
        <w:rPr>
          <w:rFonts w:ascii="Arial" w:hAnsi="Arial" w:cs="Arial"/>
        </w:rPr>
        <w:t>o found evidence of resistance</w:t>
      </w:r>
      <w:r w:rsidR="009C6D42" w:rsidRPr="00EC545A">
        <w:rPr>
          <w:rFonts w:ascii="Arial" w:hAnsi="Arial" w:cs="Arial"/>
        </w:rPr>
        <w:t>, which (</w:t>
      </w:r>
      <w:r w:rsidR="00BF0F10" w:rsidRPr="00EC545A">
        <w:rPr>
          <w:rFonts w:ascii="Arial" w:hAnsi="Arial" w:cs="Arial"/>
        </w:rPr>
        <w:t xml:space="preserve">as the able </w:t>
      </w:r>
      <w:r w:rsidR="00FE3072" w:rsidRPr="00EC545A">
        <w:rPr>
          <w:rFonts w:ascii="Arial" w:hAnsi="Arial" w:cs="Arial"/>
        </w:rPr>
        <w:t>lawyers</w:t>
      </w:r>
      <w:r w:rsidR="00BF0F10" w:rsidRPr="00EC545A">
        <w:rPr>
          <w:rFonts w:ascii="Arial" w:hAnsi="Arial" w:cs="Arial"/>
        </w:rPr>
        <w:t xml:space="preserve"> in this room </w:t>
      </w:r>
      <w:r w:rsidR="00FE3072" w:rsidRPr="00EC545A">
        <w:rPr>
          <w:rFonts w:ascii="Arial" w:hAnsi="Arial" w:cs="Arial"/>
        </w:rPr>
        <w:t xml:space="preserve">will </w:t>
      </w:r>
      <w:r w:rsidR="00BF0F10" w:rsidRPr="00EC545A">
        <w:rPr>
          <w:rFonts w:ascii="Arial" w:hAnsi="Arial" w:cs="Arial"/>
        </w:rPr>
        <w:t xml:space="preserve">have already </w:t>
      </w:r>
      <w:r w:rsidR="00FE3072" w:rsidRPr="00EC545A">
        <w:rPr>
          <w:rFonts w:ascii="Arial" w:hAnsi="Arial" w:cs="Arial"/>
        </w:rPr>
        <w:t>realised)</w:t>
      </w:r>
      <w:r w:rsidR="00BF0F10" w:rsidRPr="00EC545A">
        <w:rPr>
          <w:rFonts w:ascii="Arial" w:hAnsi="Arial" w:cs="Arial"/>
        </w:rPr>
        <w:t xml:space="preserve"> was i</w:t>
      </w:r>
      <w:r w:rsidR="00145611" w:rsidRPr="00EC545A">
        <w:rPr>
          <w:rFonts w:ascii="Arial" w:hAnsi="Arial" w:cs="Arial"/>
        </w:rPr>
        <w:t>nconsistent with the</w:t>
      </w:r>
      <w:r w:rsidR="00BF0F10" w:rsidRPr="00EC545A">
        <w:rPr>
          <w:rFonts w:ascii="Arial" w:hAnsi="Arial" w:cs="Arial"/>
        </w:rPr>
        <w:t xml:space="preserve"> </w:t>
      </w:r>
      <w:r w:rsidR="00145611" w:rsidRPr="00EC545A">
        <w:rPr>
          <w:rFonts w:ascii="Arial" w:hAnsi="Arial" w:cs="Arial"/>
        </w:rPr>
        <w:t xml:space="preserve">account </w:t>
      </w:r>
      <w:r w:rsidR="00BF0F10" w:rsidRPr="00EC545A">
        <w:rPr>
          <w:rFonts w:ascii="Arial" w:hAnsi="Arial" w:cs="Arial"/>
        </w:rPr>
        <w:t xml:space="preserve">of complete </w:t>
      </w:r>
      <w:r w:rsidR="00FE3072" w:rsidRPr="00EC545A">
        <w:rPr>
          <w:rFonts w:ascii="Arial" w:hAnsi="Arial" w:cs="Arial"/>
        </w:rPr>
        <w:t xml:space="preserve">lack of </w:t>
      </w:r>
      <w:r w:rsidR="00BF0F10" w:rsidRPr="00EC545A">
        <w:rPr>
          <w:rFonts w:ascii="Arial" w:hAnsi="Arial" w:cs="Arial"/>
        </w:rPr>
        <w:t xml:space="preserve">consciousness. </w:t>
      </w:r>
    </w:p>
    <w:p w14:paraId="3B72F4CF" w14:textId="77777777" w:rsidR="00BF0F10" w:rsidRPr="00EC545A" w:rsidRDefault="00BF0F10" w:rsidP="00BF0F10">
      <w:pPr>
        <w:rPr>
          <w:rFonts w:ascii="Arial" w:hAnsi="Arial" w:cs="Arial"/>
        </w:rPr>
      </w:pPr>
      <w:r w:rsidRPr="00EC545A">
        <w:rPr>
          <w:rFonts w:ascii="Arial" w:hAnsi="Arial" w:cs="Arial"/>
        </w:rPr>
        <w:t xml:space="preserve">A trial ensued. </w:t>
      </w:r>
      <w:r w:rsidR="00FE3072" w:rsidRPr="00EC545A">
        <w:rPr>
          <w:rFonts w:ascii="Arial" w:hAnsi="Arial" w:cs="Arial"/>
        </w:rPr>
        <w:t xml:space="preserve">It </w:t>
      </w:r>
      <w:r w:rsidRPr="00EC545A">
        <w:rPr>
          <w:rFonts w:ascii="Arial" w:hAnsi="Arial" w:cs="Arial"/>
        </w:rPr>
        <w:t>was one of the first trial</w:t>
      </w:r>
      <w:r w:rsidR="005513FF" w:rsidRPr="00EC545A">
        <w:rPr>
          <w:rFonts w:ascii="Arial" w:hAnsi="Arial" w:cs="Arial"/>
        </w:rPr>
        <w:t>s</w:t>
      </w:r>
      <w:r w:rsidRPr="00EC545A">
        <w:rPr>
          <w:rFonts w:ascii="Arial" w:hAnsi="Arial" w:cs="Arial"/>
        </w:rPr>
        <w:t xml:space="preserve"> </w:t>
      </w:r>
      <w:r w:rsidR="00FE3072" w:rsidRPr="00EC545A">
        <w:rPr>
          <w:rFonts w:ascii="Arial" w:hAnsi="Arial" w:cs="Arial"/>
        </w:rPr>
        <w:t>to which</w:t>
      </w:r>
      <w:r w:rsidRPr="00EC545A">
        <w:rPr>
          <w:rFonts w:ascii="Arial" w:hAnsi="Arial" w:cs="Arial"/>
        </w:rPr>
        <w:t xml:space="preserve"> the newly enacted </w:t>
      </w:r>
      <w:r w:rsidRPr="00EC545A">
        <w:rPr>
          <w:rFonts w:ascii="Arial" w:hAnsi="Arial" w:cs="Arial"/>
          <w:i/>
        </w:rPr>
        <w:t>Denman’s Act</w:t>
      </w:r>
      <w:r w:rsidR="005513FF" w:rsidRPr="00EC545A">
        <w:rPr>
          <w:rFonts w:ascii="Arial" w:hAnsi="Arial" w:cs="Arial"/>
        </w:rPr>
        <w:t xml:space="preserve"> applied</w:t>
      </w:r>
      <w:r w:rsidRPr="00EC545A">
        <w:rPr>
          <w:rFonts w:ascii="Arial" w:hAnsi="Arial" w:cs="Arial"/>
        </w:rPr>
        <w:t>.</w:t>
      </w:r>
      <w:r w:rsidRPr="00EC545A">
        <w:rPr>
          <w:rStyle w:val="FootnoteReference"/>
          <w:rFonts w:ascii="Arial" w:hAnsi="Arial" w:cs="Arial"/>
        </w:rPr>
        <w:footnoteReference w:id="3"/>
      </w:r>
      <w:r w:rsidR="005513FF" w:rsidRPr="00EC545A">
        <w:rPr>
          <w:rFonts w:ascii="Arial" w:hAnsi="Arial" w:cs="Arial"/>
        </w:rPr>
        <w:t xml:space="preserve"> The Act allowed</w:t>
      </w:r>
      <w:r w:rsidRPr="00EC545A">
        <w:rPr>
          <w:rFonts w:ascii="Arial" w:hAnsi="Arial" w:cs="Arial"/>
        </w:rPr>
        <w:t xml:space="preserve"> the </w:t>
      </w:r>
      <w:r w:rsidR="00FE3072" w:rsidRPr="00EC545A">
        <w:rPr>
          <w:rFonts w:ascii="Arial" w:hAnsi="Arial" w:cs="Arial"/>
        </w:rPr>
        <w:t>prosecutor</w:t>
      </w:r>
      <w:r w:rsidRPr="00EC545A">
        <w:rPr>
          <w:rFonts w:ascii="Arial" w:hAnsi="Arial" w:cs="Arial"/>
        </w:rPr>
        <w:t xml:space="preserve"> to sum up the evidence </w:t>
      </w:r>
      <w:r w:rsidR="00FE3072" w:rsidRPr="00EC545A">
        <w:rPr>
          <w:rFonts w:ascii="Arial" w:hAnsi="Arial" w:cs="Arial"/>
        </w:rPr>
        <w:t>during</w:t>
      </w:r>
      <w:r w:rsidRPr="00EC545A">
        <w:rPr>
          <w:rFonts w:ascii="Arial" w:hAnsi="Arial" w:cs="Arial"/>
        </w:rPr>
        <w:t xml:space="preserve"> a closing address to the jury – a routine feature of trials today, but an innovative procedure at the time. </w:t>
      </w:r>
    </w:p>
    <w:p w14:paraId="44268BA8" w14:textId="2EBB7648" w:rsidR="00BF0F10" w:rsidRPr="00EC545A" w:rsidRDefault="00BF0F10" w:rsidP="00BF0F10">
      <w:pPr>
        <w:rPr>
          <w:rFonts w:ascii="Arial" w:hAnsi="Arial" w:cs="Arial"/>
        </w:rPr>
      </w:pPr>
      <w:r w:rsidRPr="00EC545A">
        <w:rPr>
          <w:rFonts w:ascii="Arial" w:hAnsi="Arial" w:cs="Arial"/>
        </w:rPr>
        <w:t xml:space="preserve">The </w:t>
      </w:r>
      <w:r w:rsidR="00FE3072" w:rsidRPr="00EC545A">
        <w:rPr>
          <w:rFonts w:ascii="Arial" w:hAnsi="Arial" w:cs="Arial"/>
        </w:rPr>
        <w:t>prosecutor exercised this new</w:t>
      </w:r>
      <w:r w:rsidRPr="00EC545A">
        <w:rPr>
          <w:rFonts w:ascii="Arial" w:hAnsi="Arial" w:cs="Arial"/>
        </w:rPr>
        <w:t xml:space="preserve"> right. In his closing address, he observed that counsel for defence </w:t>
      </w:r>
      <w:r w:rsidR="00FE3072" w:rsidRPr="00EC545A">
        <w:rPr>
          <w:rFonts w:ascii="Arial" w:hAnsi="Arial" w:cs="Arial"/>
        </w:rPr>
        <w:t xml:space="preserve">had </w:t>
      </w:r>
      <w:r w:rsidRPr="00EC545A">
        <w:rPr>
          <w:rFonts w:ascii="Arial" w:hAnsi="Arial" w:cs="Arial"/>
        </w:rPr>
        <w:t>called no evidence, and told the jury that, if they</w:t>
      </w:r>
      <w:r w:rsidR="005513FF" w:rsidRPr="00EC545A">
        <w:rPr>
          <w:rFonts w:ascii="Arial" w:hAnsi="Arial" w:cs="Arial"/>
        </w:rPr>
        <w:t xml:space="preserve"> were to</w:t>
      </w:r>
      <w:r w:rsidRPr="00EC545A">
        <w:rPr>
          <w:rFonts w:ascii="Arial" w:hAnsi="Arial" w:cs="Arial"/>
        </w:rPr>
        <w:t xml:space="preserve"> acquit Mr </w:t>
      </w:r>
      <w:proofErr w:type="spellStart"/>
      <w:r w:rsidRPr="00EC545A">
        <w:rPr>
          <w:rFonts w:ascii="Arial" w:hAnsi="Arial" w:cs="Arial"/>
        </w:rPr>
        <w:t>Puddick</w:t>
      </w:r>
      <w:proofErr w:type="spellEnd"/>
      <w:r w:rsidRPr="00EC545A">
        <w:rPr>
          <w:rFonts w:ascii="Arial" w:hAnsi="Arial" w:cs="Arial"/>
        </w:rPr>
        <w:t>, they</w:t>
      </w:r>
      <w:r w:rsidR="005513FF" w:rsidRPr="00EC545A">
        <w:rPr>
          <w:rFonts w:ascii="Arial" w:hAnsi="Arial" w:cs="Arial"/>
        </w:rPr>
        <w:t xml:space="preserve"> would,</w:t>
      </w:r>
      <w:r w:rsidRPr="00EC545A">
        <w:rPr>
          <w:rFonts w:ascii="Arial" w:hAnsi="Arial" w:cs="Arial"/>
        </w:rPr>
        <w:t xml:space="preserve"> in effect</w:t>
      </w:r>
      <w:r w:rsidR="005513FF" w:rsidRPr="00EC545A">
        <w:rPr>
          <w:rFonts w:ascii="Arial" w:hAnsi="Arial" w:cs="Arial"/>
        </w:rPr>
        <w:t>,</w:t>
      </w:r>
      <w:r w:rsidRPr="00EC545A">
        <w:rPr>
          <w:rFonts w:ascii="Arial" w:hAnsi="Arial" w:cs="Arial"/>
        </w:rPr>
        <w:t xml:space="preserve"> </w:t>
      </w:r>
      <w:r w:rsidR="00FE3072" w:rsidRPr="00EC545A">
        <w:rPr>
          <w:rFonts w:ascii="Arial" w:hAnsi="Arial" w:cs="Arial"/>
        </w:rPr>
        <w:t xml:space="preserve">be </w:t>
      </w:r>
      <w:r w:rsidRPr="00EC545A">
        <w:rPr>
          <w:rFonts w:ascii="Arial" w:hAnsi="Arial" w:cs="Arial"/>
        </w:rPr>
        <w:t>convict</w:t>
      </w:r>
      <w:r w:rsidR="00FE3072" w:rsidRPr="00EC545A">
        <w:rPr>
          <w:rFonts w:ascii="Arial" w:hAnsi="Arial" w:cs="Arial"/>
        </w:rPr>
        <w:t>ing</w:t>
      </w:r>
      <w:r w:rsidRPr="00EC545A">
        <w:rPr>
          <w:rFonts w:ascii="Arial" w:hAnsi="Arial" w:cs="Arial"/>
        </w:rPr>
        <w:t xml:space="preserve"> the complainant of perjury. </w:t>
      </w:r>
    </w:p>
    <w:p w14:paraId="15C8796F" w14:textId="2649BC6C" w:rsidR="00BF0F10" w:rsidRPr="00EC545A" w:rsidRDefault="00BF0F10" w:rsidP="00BF0F10">
      <w:pPr>
        <w:rPr>
          <w:rFonts w:ascii="Arial" w:hAnsi="Arial" w:cs="Arial"/>
        </w:rPr>
      </w:pPr>
      <w:r w:rsidRPr="00EC545A">
        <w:rPr>
          <w:rFonts w:ascii="Arial" w:hAnsi="Arial" w:cs="Arial"/>
        </w:rPr>
        <w:lastRenderedPageBreak/>
        <w:t xml:space="preserve">I am confident that </w:t>
      </w:r>
      <w:r w:rsidR="008E228A" w:rsidRPr="00EC545A">
        <w:rPr>
          <w:rFonts w:ascii="Arial" w:hAnsi="Arial" w:cs="Arial"/>
        </w:rPr>
        <w:t>all</w:t>
      </w:r>
      <w:r w:rsidRPr="00EC545A">
        <w:rPr>
          <w:rFonts w:ascii="Arial" w:hAnsi="Arial" w:cs="Arial"/>
        </w:rPr>
        <w:t xml:space="preserve"> </w:t>
      </w:r>
      <w:r w:rsidR="00145611" w:rsidRPr="00EC545A">
        <w:rPr>
          <w:rFonts w:ascii="Arial" w:hAnsi="Arial" w:cs="Arial"/>
        </w:rPr>
        <w:t xml:space="preserve">ACT </w:t>
      </w:r>
      <w:r w:rsidRPr="00EC545A">
        <w:rPr>
          <w:rFonts w:ascii="Arial" w:hAnsi="Arial" w:cs="Arial"/>
        </w:rPr>
        <w:t xml:space="preserve">prosecutors </w:t>
      </w:r>
      <w:r w:rsidR="008677D9" w:rsidRPr="00EC545A">
        <w:rPr>
          <w:rFonts w:ascii="Arial" w:hAnsi="Arial" w:cs="Arial"/>
        </w:rPr>
        <w:t>would be</w:t>
      </w:r>
      <w:r w:rsidR="008E228A" w:rsidRPr="00EC545A">
        <w:rPr>
          <w:rFonts w:ascii="Arial" w:hAnsi="Arial" w:cs="Arial"/>
        </w:rPr>
        <w:t xml:space="preserve"> appalled</w:t>
      </w:r>
      <w:r w:rsidRPr="00EC545A">
        <w:rPr>
          <w:rFonts w:ascii="Arial" w:hAnsi="Arial" w:cs="Arial"/>
        </w:rPr>
        <w:t xml:space="preserve"> by such a submission. It </w:t>
      </w:r>
      <w:r w:rsidR="00FE3072" w:rsidRPr="00EC545A">
        <w:rPr>
          <w:rFonts w:ascii="Arial" w:hAnsi="Arial" w:cs="Arial"/>
        </w:rPr>
        <w:t xml:space="preserve">is fundamental that </w:t>
      </w:r>
      <w:r w:rsidR="006F0B81" w:rsidRPr="00EC545A">
        <w:rPr>
          <w:rFonts w:ascii="Arial" w:hAnsi="Arial" w:cs="Arial"/>
        </w:rPr>
        <w:t>the prosecution</w:t>
      </w:r>
      <w:r w:rsidRPr="00EC545A">
        <w:rPr>
          <w:rFonts w:ascii="Arial" w:hAnsi="Arial" w:cs="Arial"/>
        </w:rPr>
        <w:t xml:space="preserve"> </w:t>
      </w:r>
      <w:r w:rsidR="006F0B81" w:rsidRPr="00EC545A">
        <w:rPr>
          <w:rFonts w:ascii="Arial" w:hAnsi="Arial" w:cs="Arial"/>
        </w:rPr>
        <w:t>bears the onus of proving</w:t>
      </w:r>
      <w:r w:rsidRPr="00EC545A">
        <w:rPr>
          <w:rFonts w:ascii="Arial" w:hAnsi="Arial" w:cs="Arial"/>
        </w:rPr>
        <w:t xml:space="preserve"> guilt beyond reasonable doubt</w:t>
      </w:r>
      <w:r w:rsidR="006F0B81" w:rsidRPr="00EC545A">
        <w:rPr>
          <w:rFonts w:ascii="Arial" w:hAnsi="Arial" w:cs="Arial"/>
        </w:rPr>
        <w:t>, without reference to the consequences for the complainant or any other witness</w:t>
      </w:r>
      <w:r w:rsidRPr="00EC545A">
        <w:rPr>
          <w:rFonts w:ascii="Arial" w:hAnsi="Arial" w:cs="Arial"/>
        </w:rPr>
        <w:t xml:space="preserve">. </w:t>
      </w:r>
    </w:p>
    <w:p w14:paraId="46E76327" w14:textId="5DC8348D" w:rsidR="00BF0F10" w:rsidRPr="00EC545A" w:rsidRDefault="00BF0F10" w:rsidP="00BF0F10">
      <w:pPr>
        <w:rPr>
          <w:rFonts w:ascii="Arial" w:hAnsi="Arial" w:cs="Arial"/>
        </w:rPr>
      </w:pPr>
      <w:r w:rsidRPr="00EC545A">
        <w:rPr>
          <w:rFonts w:ascii="Arial" w:hAnsi="Arial" w:cs="Arial"/>
        </w:rPr>
        <w:t>Back in 1865, Justice Crompton</w:t>
      </w:r>
      <w:r w:rsidR="006F0B81" w:rsidRPr="00EC545A">
        <w:rPr>
          <w:rFonts w:ascii="Arial" w:hAnsi="Arial" w:cs="Arial"/>
        </w:rPr>
        <w:t xml:space="preserve"> </w:t>
      </w:r>
      <w:r w:rsidR="00145611" w:rsidRPr="00EC545A">
        <w:rPr>
          <w:rFonts w:ascii="Arial" w:hAnsi="Arial" w:cs="Arial"/>
        </w:rPr>
        <w:t>was also appalled</w:t>
      </w:r>
      <w:r w:rsidRPr="00EC545A">
        <w:rPr>
          <w:rFonts w:ascii="Arial" w:hAnsi="Arial" w:cs="Arial"/>
        </w:rPr>
        <w:t xml:space="preserve">. </w:t>
      </w:r>
      <w:r w:rsidR="00145611" w:rsidRPr="00EC545A">
        <w:rPr>
          <w:rFonts w:ascii="Arial" w:hAnsi="Arial" w:cs="Arial"/>
        </w:rPr>
        <w:t>His</w:t>
      </w:r>
      <w:r w:rsidRPr="00EC545A">
        <w:rPr>
          <w:rFonts w:ascii="Arial" w:hAnsi="Arial" w:cs="Arial"/>
        </w:rPr>
        <w:t xml:space="preserve"> Honour </w:t>
      </w:r>
      <w:r w:rsidR="00145611" w:rsidRPr="00EC545A">
        <w:rPr>
          <w:rFonts w:ascii="Arial" w:hAnsi="Arial" w:cs="Arial"/>
        </w:rPr>
        <w:t>said</w:t>
      </w:r>
      <w:r w:rsidRPr="00EC545A">
        <w:rPr>
          <w:rFonts w:ascii="Arial" w:hAnsi="Arial" w:cs="Arial"/>
        </w:rPr>
        <w:t>:</w:t>
      </w:r>
    </w:p>
    <w:p w14:paraId="35D3A21D" w14:textId="0DB24093" w:rsidR="00BF0F10" w:rsidRPr="00EC545A" w:rsidRDefault="00BF0F10" w:rsidP="00BF0F10">
      <w:pPr>
        <w:ind w:left="720"/>
        <w:rPr>
          <w:rFonts w:ascii="Arial" w:hAnsi="Arial" w:cs="Arial"/>
          <w:sz w:val="20"/>
        </w:rPr>
      </w:pPr>
      <w:r w:rsidRPr="00EC545A">
        <w:rPr>
          <w:rFonts w:ascii="Arial" w:hAnsi="Arial" w:cs="Arial"/>
          <w:sz w:val="20"/>
        </w:rPr>
        <w:t xml:space="preserve">Counsel for the prosecution … are to regard themselves as </w:t>
      </w:r>
      <w:r w:rsidRPr="00EC545A">
        <w:rPr>
          <w:rFonts w:ascii="Arial" w:hAnsi="Arial" w:cs="Arial"/>
          <w:i/>
          <w:sz w:val="20"/>
        </w:rPr>
        <w:t>ministers of justice</w:t>
      </w:r>
      <w:r w:rsidRPr="00EC545A">
        <w:rPr>
          <w:rFonts w:ascii="Arial" w:hAnsi="Arial" w:cs="Arial"/>
          <w:sz w:val="20"/>
        </w:rPr>
        <w:t>, and not to struggle for a conviction … not be betrayed by feelings of professional rivalry … [nor] to regard the question at issue as one of professional superiority, and a contest for skill and pre-eminence.</w:t>
      </w:r>
      <w:r w:rsidRPr="00EC545A">
        <w:rPr>
          <w:rStyle w:val="FootnoteReference"/>
          <w:rFonts w:ascii="Arial" w:hAnsi="Arial" w:cs="Arial"/>
          <w:sz w:val="20"/>
        </w:rPr>
        <w:footnoteReference w:id="4"/>
      </w:r>
    </w:p>
    <w:p w14:paraId="0A63F676" w14:textId="4F258D57" w:rsidR="009C55A2" w:rsidRPr="00EC545A" w:rsidRDefault="009C55A2" w:rsidP="00BF0F10">
      <w:pPr>
        <w:ind w:left="720"/>
        <w:rPr>
          <w:rFonts w:ascii="Arial" w:hAnsi="Arial" w:cs="Arial"/>
          <w:sz w:val="20"/>
        </w:rPr>
      </w:pPr>
      <w:r w:rsidRPr="00EC545A">
        <w:rPr>
          <w:rFonts w:ascii="Arial" w:hAnsi="Arial" w:cs="Arial"/>
          <w:sz w:val="20"/>
        </w:rPr>
        <w:t>[Emphasis added.]</w:t>
      </w:r>
    </w:p>
    <w:p w14:paraId="11BDE2BE" w14:textId="6AA1B4DF" w:rsidR="00145611" w:rsidRPr="00EC545A" w:rsidRDefault="00462A82" w:rsidP="00BF0F10">
      <w:pPr>
        <w:rPr>
          <w:rFonts w:ascii="Arial" w:hAnsi="Arial" w:cs="Arial"/>
        </w:rPr>
      </w:pPr>
      <w:r w:rsidRPr="00EC545A">
        <w:rPr>
          <w:rFonts w:ascii="Arial" w:hAnsi="Arial" w:cs="Arial"/>
        </w:rPr>
        <w:t xml:space="preserve">While </w:t>
      </w:r>
      <w:r w:rsidR="002209C7">
        <w:rPr>
          <w:rFonts w:ascii="Arial" w:hAnsi="Arial" w:cs="Arial"/>
          <w:i/>
        </w:rPr>
        <w:t xml:space="preserve">R v </w:t>
      </w:r>
      <w:proofErr w:type="spellStart"/>
      <w:r w:rsidRPr="00EC545A">
        <w:rPr>
          <w:rFonts w:ascii="Arial" w:hAnsi="Arial" w:cs="Arial"/>
          <w:i/>
        </w:rPr>
        <w:t>Puddick</w:t>
      </w:r>
      <w:proofErr w:type="spellEnd"/>
      <w:r w:rsidRPr="00EC545A">
        <w:rPr>
          <w:rFonts w:ascii="Arial" w:hAnsi="Arial" w:cs="Arial"/>
          <w:i/>
        </w:rPr>
        <w:t xml:space="preserve"> </w:t>
      </w:r>
      <w:r w:rsidR="00592E38">
        <w:rPr>
          <w:rFonts w:ascii="Arial" w:hAnsi="Arial" w:cs="Arial"/>
        </w:rPr>
        <w:t>was</w:t>
      </w:r>
      <w:r w:rsidRPr="00EC545A">
        <w:rPr>
          <w:rFonts w:ascii="Arial" w:hAnsi="Arial" w:cs="Arial"/>
        </w:rPr>
        <w:t xml:space="preserve"> </w:t>
      </w:r>
      <w:r w:rsidR="006F0B81" w:rsidRPr="00EC545A">
        <w:rPr>
          <w:rFonts w:ascii="Arial" w:hAnsi="Arial" w:cs="Arial"/>
        </w:rPr>
        <w:t>the</w:t>
      </w:r>
      <w:r w:rsidR="00145611" w:rsidRPr="00EC545A">
        <w:rPr>
          <w:rFonts w:ascii="Arial" w:hAnsi="Arial" w:cs="Arial"/>
        </w:rPr>
        <w:t xml:space="preserve"> </w:t>
      </w:r>
      <w:r w:rsidR="00DC618C" w:rsidRPr="00EC545A">
        <w:rPr>
          <w:rFonts w:ascii="Arial" w:hAnsi="Arial" w:cs="Arial"/>
        </w:rPr>
        <w:t xml:space="preserve">first </w:t>
      </w:r>
      <w:r w:rsidR="00145611" w:rsidRPr="00EC545A">
        <w:rPr>
          <w:rFonts w:ascii="Arial" w:hAnsi="Arial" w:cs="Arial"/>
        </w:rPr>
        <w:t xml:space="preserve">reference to </w:t>
      </w:r>
      <w:r w:rsidR="00595DBB" w:rsidRPr="00EC545A">
        <w:rPr>
          <w:rFonts w:ascii="Arial" w:hAnsi="Arial" w:cs="Arial"/>
        </w:rPr>
        <w:t xml:space="preserve">the concept that </w:t>
      </w:r>
      <w:r w:rsidR="00BF0F10" w:rsidRPr="00EC545A">
        <w:rPr>
          <w:rFonts w:ascii="Arial" w:hAnsi="Arial" w:cs="Arial"/>
        </w:rPr>
        <w:t>a prosecutor</w:t>
      </w:r>
      <w:r w:rsidR="00595DBB" w:rsidRPr="00EC545A">
        <w:rPr>
          <w:rFonts w:ascii="Arial" w:hAnsi="Arial" w:cs="Arial"/>
        </w:rPr>
        <w:t xml:space="preserve"> is </w:t>
      </w:r>
      <w:r w:rsidR="00BF0F10" w:rsidRPr="00EC545A">
        <w:rPr>
          <w:rFonts w:ascii="Arial" w:hAnsi="Arial" w:cs="Arial"/>
        </w:rPr>
        <w:t>a minister of justice</w:t>
      </w:r>
      <w:r w:rsidRPr="00EC545A">
        <w:rPr>
          <w:rFonts w:ascii="Arial" w:hAnsi="Arial" w:cs="Arial"/>
        </w:rPr>
        <w:t>, the idea had been develop</w:t>
      </w:r>
      <w:r w:rsidR="002209C7">
        <w:rPr>
          <w:rFonts w:ascii="Arial" w:hAnsi="Arial" w:cs="Arial"/>
        </w:rPr>
        <w:t>ing</w:t>
      </w:r>
      <w:r w:rsidRPr="00EC545A">
        <w:rPr>
          <w:rFonts w:ascii="Arial" w:hAnsi="Arial" w:cs="Arial"/>
        </w:rPr>
        <w:t xml:space="preserve"> in England for some time</w:t>
      </w:r>
      <w:r w:rsidR="00BF0F10" w:rsidRPr="00EC545A">
        <w:rPr>
          <w:rFonts w:ascii="Arial" w:hAnsi="Arial" w:cs="Arial"/>
        </w:rPr>
        <w:t xml:space="preserve">. </w:t>
      </w:r>
    </w:p>
    <w:p w14:paraId="12FF0F4D" w14:textId="5DE9590A" w:rsidR="00BF0F10" w:rsidRPr="00EC545A" w:rsidRDefault="00595DBB" w:rsidP="00BF0F10">
      <w:pPr>
        <w:rPr>
          <w:rFonts w:ascii="Arial" w:hAnsi="Arial" w:cs="Arial"/>
        </w:rPr>
      </w:pPr>
      <w:r w:rsidRPr="00EC545A">
        <w:rPr>
          <w:rFonts w:ascii="Arial" w:hAnsi="Arial" w:cs="Arial"/>
        </w:rPr>
        <w:t xml:space="preserve">Forty-seven </w:t>
      </w:r>
      <w:r w:rsidR="00145611" w:rsidRPr="00EC545A">
        <w:rPr>
          <w:rFonts w:ascii="Arial" w:hAnsi="Arial" w:cs="Arial"/>
        </w:rPr>
        <w:t xml:space="preserve">years earlier </w:t>
      </w:r>
      <w:r w:rsidR="006F0B81" w:rsidRPr="00EC545A">
        <w:rPr>
          <w:rFonts w:ascii="Arial" w:hAnsi="Arial" w:cs="Arial"/>
        </w:rPr>
        <w:t xml:space="preserve">in </w:t>
      </w:r>
      <w:r w:rsidR="00BF0F10" w:rsidRPr="00EC545A">
        <w:rPr>
          <w:rFonts w:ascii="Arial" w:hAnsi="Arial" w:cs="Arial"/>
          <w:i/>
        </w:rPr>
        <w:t xml:space="preserve">R v </w:t>
      </w:r>
      <w:proofErr w:type="spellStart"/>
      <w:r w:rsidR="00BF0F10" w:rsidRPr="00EC545A">
        <w:rPr>
          <w:rFonts w:ascii="Arial" w:hAnsi="Arial" w:cs="Arial"/>
          <w:i/>
        </w:rPr>
        <w:t>Thursfield</w:t>
      </w:r>
      <w:proofErr w:type="spellEnd"/>
      <w:r w:rsidR="00BF0F10" w:rsidRPr="00EC545A">
        <w:rPr>
          <w:rFonts w:ascii="Arial" w:hAnsi="Arial" w:cs="Arial"/>
        </w:rPr>
        <w:t>,</w:t>
      </w:r>
      <w:r w:rsidR="00BF0F10" w:rsidRPr="00EC545A">
        <w:rPr>
          <w:rStyle w:val="FootnoteReference"/>
          <w:rFonts w:ascii="Arial" w:hAnsi="Arial" w:cs="Arial"/>
        </w:rPr>
        <w:footnoteReference w:id="5"/>
      </w:r>
      <w:r w:rsidR="00BF0F10" w:rsidRPr="00EC545A">
        <w:rPr>
          <w:rFonts w:ascii="Arial" w:hAnsi="Arial" w:cs="Arial"/>
        </w:rPr>
        <w:t xml:space="preserve"> </w:t>
      </w:r>
      <w:r w:rsidR="00145611" w:rsidRPr="00EC545A">
        <w:rPr>
          <w:rFonts w:ascii="Arial" w:hAnsi="Arial" w:cs="Arial"/>
        </w:rPr>
        <w:t>in his opening remarks</w:t>
      </w:r>
      <w:r w:rsidR="006F0B81" w:rsidRPr="00EC545A">
        <w:rPr>
          <w:rFonts w:ascii="Arial" w:hAnsi="Arial" w:cs="Arial"/>
        </w:rPr>
        <w:t xml:space="preserve"> </w:t>
      </w:r>
      <w:r w:rsidR="00BF0F10" w:rsidRPr="00EC545A">
        <w:rPr>
          <w:rFonts w:ascii="Arial" w:hAnsi="Arial" w:cs="Arial"/>
        </w:rPr>
        <w:t xml:space="preserve">the prosecutor </w:t>
      </w:r>
      <w:r w:rsidR="006F0B81" w:rsidRPr="00EC545A">
        <w:rPr>
          <w:rFonts w:ascii="Arial" w:hAnsi="Arial" w:cs="Arial"/>
        </w:rPr>
        <w:t>both</w:t>
      </w:r>
      <w:r w:rsidR="00BF0F10" w:rsidRPr="00EC545A">
        <w:rPr>
          <w:rFonts w:ascii="Arial" w:hAnsi="Arial" w:cs="Arial"/>
        </w:rPr>
        <w:t xml:space="preserve"> summarised the anticipated prosecution evidence </w:t>
      </w:r>
      <w:r w:rsidR="006F0B81" w:rsidRPr="00EC545A">
        <w:rPr>
          <w:rFonts w:ascii="Arial" w:hAnsi="Arial" w:cs="Arial"/>
        </w:rPr>
        <w:t>and</w:t>
      </w:r>
      <w:r w:rsidR="00BF0F10" w:rsidRPr="00EC545A">
        <w:rPr>
          <w:rFonts w:ascii="Arial" w:hAnsi="Arial" w:cs="Arial"/>
        </w:rPr>
        <w:t xml:space="preserve"> foreshadowed the evidence that may be favourable to </w:t>
      </w:r>
      <w:r w:rsidR="00145611" w:rsidRPr="00EC545A">
        <w:rPr>
          <w:rFonts w:ascii="Arial" w:hAnsi="Arial" w:cs="Arial"/>
        </w:rPr>
        <w:t xml:space="preserve">the </w:t>
      </w:r>
      <w:r w:rsidR="00BF0F10" w:rsidRPr="00EC545A">
        <w:rPr>
          <w:rFonts w:ascii="Arial" w:hAnsi="Arial" w:cs="Arial"/>
        </w:rPr>
        <w:t>defence</w:t>
      </w:r>
      <w:r w:rsidRPr="00EC545A">
        <w:rPr>
          <w:rFonts w:ascii="Arial" w:hAnsi="Arial" w:cs="Arial"/>
        </w:rPr>
        <w:t xml:space="preserve">. This approach moved </w:t>
      </w:r>
      <w:r w:rsidR="00D708BB" w:rsidRPr="00EC545A">
        <w:rPr>
          <w:rFonts w:ascii="Arial" w:hAnsi="Arial" w:cs="Arial"/>
        </w:rPr>
        <w:t xml:space="preserve">Baron Gurney of the </w:t>
      </w:r>
      <w:r w:rsidR="00BF0F10" w:rsidRPr="00EC545A">
        <w:rPr>
          <w:rFonts w:ascii="Arial" w:hAnsi="Arial" w:cs="Arial"/>
        </w:rPr>
        <w:t>Exchequer of Pleas,</w:t>
      </w:r>
      <w:r w:rsidRPr="00EC545A">
        <w:rPr>
          <w:rFonts w:ascii="Arial" w:hAnsi="Arial" w:cs="Arial"/>
        </w:rPr>
        <w:t xml:space="preserve"> to say</w:t>
      </w:r>
      <w:r w:rsidR="00BF0F10" w:rsidRPr="00EC545A">
        <w:rPr>
          <w:rFonts w:ascii="Arial" w:hAnsi="Arial" w:cs="Arial"/>
        </w:rPr>
        <w:t xml:space="preserve">: </w:t>
      </w:r>
    </w:p>
    <w:p w14:paraId="5DFAAB80" w14:textId="77777777" w:rsidR="00BF0F10" w:rsidRPr="00EC545A" w:rsidRDefault="00BF0F10" w:rsidP="00BF0F10">
      <w:pPr>
        <w:ind w:left="720"/>
        <w:rPr>
          <w:rFonts w:ascii="Arial" w:hAnsi="Arial" w:cs="Arial"/>
          <w:sz w:val="20"/>
        </w:rPr>
      </w:pPr>
      <w:r w:rsidRPr="00EC545A">
        <w:rPr>
          <w:rFonts w:ascii="Arial" w:hAnsi="Arial" w:cs="Arial"/>
          <w:sz w:val="20"/>
        </w:rPr>
        <w:t>The learned counsel for the prosecution has most accurately conceived his duty, which is to be assistant to the Court in furtherance of justice, and not to act as counsel for any particular person or party.</w:t>
      </w:r>
      <w:r w:rsidRPr="00EC545A">
        <w:rPr>
          <w:rStyle w:val="FootnoteReference"/>
          <w:rFonts w:ascii="Arial" w:hAnsi="Arial" w:cs="Arial"/>
          <w:sz w:val="20"/>
        </w:rPr>
        <w:footnoteReference w:id="6"/>
      </w:r>
      <w:r w:rsidRPr="00EC545A">
        <w:rPr>
          <w:rFonts w:ascii="Arial" w:hAnsi="Arial" w:cs="Arial"/>
          <w:sz w:val="20"/>
        </w:rPr>
        <w:t xml:space="preserve"> </w:t>
      </w:r>
    </w:p>
    <w:p w14:paraId="7F22A968" w14:textId="77777777" w:rsidR="00145611" w:rsidRPr="00EC545A" w:rsidRDefault="008677D9" w:rsidP="00BF0F10">
      <w:pPr>
        <w:rPr>
          <w:rFonts w:ascii="Arial" w:hAnsi="Arial" w:cs="Arial"/>
        </w:rPr>
      </w:pPr>
      <w:r w:rsidRPr="00EC545A">
        <w:rPr>
          <w:rFonts w:ascii="Arial" w:hAnsi="Arial" w:cs="Arial"/>
        </w:rPr>
        <w:t>The</w:t>
      </w:r>
      <w:r w:rsidR="00BF0F10" w:rsidRPr="00EC545A">
        <w:rPr>
          <w:rFonts w:ascii="Arial" w:hAnsi="Arial" w:cs="Arial"/>
        </w:rPr>
        <w:t xml:space="preserve"> </w:t>
      </w:r>
      <w:r w:rsidR="004B07F1" w:rsidRPr="00EC545A">
        <w:rPr>
          <w:rFonts w:ascii="Arial" w:hAnsi="Arial" w:cs="Arial"/>
        </w:rPr>
        <w:t>characterisation of prosecutors as</w:t>
      </w:r>
      <w:r w:rsidR="00BF0F10" w:rsidRPr="00EC545A">
        <w:rPr>
          <w:rFonts w:ascii="Arial" w:hAnsi="Arial" w:cs="Arial"/>
        </w:rPr>
        <w:t xml:space="preserve"> ministers of justice has endured. </w:t>
      </w:r>
    </w:p>
    <w:p w14:paraId="749245FB" w14:textId="0F91A699" w:rsidR="00BF0F10" w:rsidRPr="00EC545A" w:rsidRDefault="00145611" w:rsidP="00BF0F10">
      <w:pPr>
        <w:rPr>
          <w:rFonts w:ascii="Arial" w:hAnsi="Arial" w:cs="Arial"/>
        </w:rPr>
      </w:pPr>
      <w:r w:rsidRPr="00EC545A">
        <w:rPr>
          <w:rFonts w:ascii="Arial" w:hAnsi="Arial" w:cs="Arial"/>
        </w:rPr>
        <w:t>In 2004</w:t>
      </w:r>
      <w:r w:rsidR="00595DBB" w:rsidRPr="00EC545A">
        <w:rPr>
          <w:rFonts w:ascii="Arial" w:hAnsi="Arial" w:cs="Arial"/>
        </w:rPr>
        <w:t xml:space="preserve"> the phrase “ministers of justice” was used </w:t>
      </w:r>
      <w:r w:rsidR="00BF0F10" w:rsidRPr="00EC545A">
        <w:rPr>
          <w:rFonts w:ascii="Arial" w:hAnsi="Arial" w:cs="Arial"/>
        </w:rPr>
        <w:t>by the High Court in</w:t>
      </w:r>
      <w:r w:rsidR="005513FF" w:rsidRPr="00EC545A">
        <w:rPr>
          <w:rFonts w:ascii="Arial" w:hAnsi="Arial" w:cs="Arial"/>
        </w:rPr>
        <w:t xml:space="preserve"> the</w:t>
      </w:r>
      <w:r w:rsidR="00BF0F10" w:rsidRPr="00EC545A">
        <w:rPr>
          <w:rFonts w:ascii="Arial" w:hAnsi="Arial" w:cs="Arial"/>
        </w:rPr>
        <w:t xml:space="preserve"> case of </w:t>
      </w:r>
      <w:proofErr w:type="spellStart"/>
      <w:r w:rsidR="00BF0F10" w:rsidRPr="00EC545A">
        <w:rPr>
          <w:rFonts w:ascii="Arial" w:hAnsi="Arial" w:cs="Arial"/>
          <w:i/>
        </w:rPr>
        <w:t>Subramaniam</w:t>
      </w:r>
      <w:proofErr w:type="spellEnd"/>
      <w:r w:rsidR="00BF0F10" w:rsidRPr="00EC545A">
        <w:rPr>
          <w:rFonts w:ascii="Arial" w:hAnsi="Arial" w:cs="Arial"/>
          <w:i/>
        </w:rPr>
        <w:t xml:space="preserve"> v The Queen</w:t>
      </w:r>
      <w:r w:rsidR="00D708BB" w:rsidRPr="00EC545A">
        <w:rPr>
          <w:rFonts w:ascii="Arial" w:hAnsi="Arial" w:cs="Arial"/>
          <w:i/>
        </w:rPr>
        <w:t>.</w:t>
      </w:r>
      <w:r w:rsidR="00BF0F10" w:rsidRPr="00EC545A">
        <w:rPr>
          <w:rStyle w:val="FootnoteReference"/>
          <w:rFonts w:ascii="Arial" w:hAnsi="Arial" w:cs="Arial"/>
        </w:rPr>
        <w:footnoteReference w:id="7"/>
      </w:r>
      <w:r w:rsidR="00EC545A">
        <w:rPr>
          <w:rFonts w:ascii="Arial" w:hAnsi="Arial" w:cs="Arial"/>
        </w:rPr>
        <w:t xml:space="preserve"> </w:t>
      </w:r>
      <w:r w:rsidR="00595DBB" w:rsidRPr="00EC545A">
        <w:rPr>
          <w:rFonts w:ascii="Arial" w:hAnsi="Arial" w:cs="Arial"/>
        </w:rPr>
        <w:t>It</w:t>
      </w:r>
      <w:r w:rsidR="004B07F1" w:rsidRPr="00EC545A">
        <w:rPr>
          <w:rFonts w:ascii="Arial" w:hAnsi="Arial" w:cs="Arial"/>
        </w:rPr>
        <w:t xml:space="preserve"> has been adopted </w:t>
      </w:r>
      <w:r w:rsidR="00BF0F10" w:rsidRPr="00EC545A">
        <w:rPr>
          <w:rFonts w:ascii="Arial" w:hAnsi="Arial" w:cs="Arial"/>
        </w:rPr>
        <w:t xml:space="preserve">by </w:t>
      </w:r>
      <w:r w:rsidR="004B07F1" w:rsidRPr="00EC545A">
        <w:rPr>
          <w:rFonts w:ascii="Arial" w:hAnsi="Arial" w:cs="Arial"/>
        </w:rPr>
        <w:t>intermediate courts of appeal</w:t>
      </w:r>
      <w:r w:rsidR="00BF0F10" w:rsidRPr="00EC545A">
        <w:rPr>
          <w:rFonts w:ascii="Arial" w:hAnsi="Arial" w:cs="Arial"/>
        </w:rPr>
        <w:t xml:space="preserve"> across Australia.</w:t>
      </w:r>
      <w:r w:rsidR="00BF0F10" w:rsidRPr="00EC545A">
        <w:rPr>
          <w:rStyle w:val="FootnoteReference"/>
          <w:rFonts w:ascii="Arial" w:hAnsi="Arial" w:cs="Arial"/>
        </w:rPr>
        <w:footnoteReference w:id="8"/>
      </w:r>
      <w:r w:rsidR="00BF0F10" w:rsidRPr="00EC545A">
        <w:rPr>
          <w:rFonts w:ascii="Arial" w:hAnsi="Arial" w:cs="Arial"/>
        </w:rPr>
        <w:t xml:space="preserve"> It has been accep</w:t>
      </w:r>
      <w:r w:rsidRPr="00EC545A">
        <w:rPr>
          <w:rFonts w:ascii="Arial" w:hAnsi="Arial" w:cs="Arial"/>
        </w:rPr>
        <w:t>ted across the common law world</w:t>
      </w:r>
      <w:r w:rsidR="00D708BB" w:rsidRPr="00EC545A">
        <w:rPr>
          <w:rFonts w:ascii="Arial" w:hAnsi="Arial" w:cs="Arial"/>
        </w:rPr>
        <w:t>,</w:t>
      </w:r>
      <w:r w:rsidR="00BF0F10" w:rsidRPr="00EC545A">
        <w:rPr>
          <w:rStyle w:val="FootnoteReference"/>
          <w:rFonts w:ascii="Arial" w:hAnsi="Arial" w:cs="Arial"/>
        </w:rPr>
        <w:footnoteReference w:id="9"/>
      </w:r>
      <w:r w:rsidRPr="00EC545A">
        <w:rPr>
          <w:rFonts w:ascii="Arial" w:hAnsi="Arial" w:cs="Arial"/>
        </w:rPr>
        <w:t xml:space="preserve"> </w:t>
      </w:r>
      <w:r w:rsidR="00302F0C" w:rsidRPr="00EC545A">
        <w:rPr>
          <w:rFonts w:ascii="Arial" w:hAnsi="Arial" w:cs="Arial"/>
        </w:rPr>
        <w:t>as well as</w:t>
      </w:r>
      <w:r w:rsidR="00BF0F10" w:rsidRPr="00EC545A">
        <w:rPr>
          <w:rFonts w:ascii="Arial" w:hAnsi="Arial" w:cs="Arial"/>
        </w:rPr>
        <w:t xml:space="preserve"> </w:t>
      </w:r>
      <w:r w:rsidR="00D708BB" w:rsidRPr="00EC545A">
        <w:rPr>
          <w:rFonts w:ascii="Arial" w:hAnsi="Arial" w:cs="Arial"/>
        </w:rPr>
        <w:t xml:space="preserve">by </w:t>
      </w:r>
      <w:r w:rsidR="00BF0F10" w:rsidRPr="00EC545A">
        <w:rPr>
          <w:rFonts w:ascii="Arial" w:hAnsi="Arial" w:cs="Arial"/>
        </w:rPr>
        <w:t>international</w:t>
      </w:r>
      <w:r w:rsidR="00302F0C" w:rsidRPr="00EC545A">
        <w:rPr>
          <w:rFonts w:ascii="Arial" w:hAnsi="Arial" w:cs="Arial"/>
        </w:rPr>
        <w:t xml:space="preserve"> criminal</w:t>
      </w:r>
      <w:r w:rsidR="00BF0F10" w:rsidRPr="00EC545A">
        <w:rPr>
          <w:rFonts w:ascii="Arial" w:hAnsi="Arial" w:cs="Arial"/>
        </w:rPr>
        <w:t xml:space="preserve"> tribunals.</w:t>
      </w:r>
      <w:r w:rsidR="00BF0F10" w:rsidRPr="00EC545A">
        <w:rPr>
          <w:rStyle w:val="FootnoteReference"/>
          <w:rFonts w:ascii="Arial" w:hAnsi="Arial" w:cs="Arial"/>
        </w:rPr>
        <w:footnoteReference w:id="10"/>
      </w:r>
      <w:r w:rsidR="00BF0F10" w:rsidRPr="00EC545A">
        <w:rPr>
          <w:rFonts w:ascii="Arial" w:hAnsi="Arial" w:cs="Arial"/>
        </w:rPr>
        <w:t xml:space="preserve"> </w:t>
      </w:r>
    </w:p>
    <w:p w14:paraId="2A93B162" w14:textId="33CCAF97" w:rsidR="00BF0F10" w:rsidRPr="00EC545A" w:rsidRDefault="00595DBB" w:rsidP="00BF0F10">
      <w:pPr>
        <w:rPr>
          <w:rFonts w:ascii="Arial" w:hAnsi="Arial" w:cs="Arial"/>
        </w:rPr>
      </w:pPr>
      <w:r w:rsidRPr="00EC545A">
        <w:rPr>
          <w:rFonts w:ascii="Arial" w:hAnsi="Arial" w:cs="Arial"/>
        </w:rPr>
        <w:t xml:space="preserve">But what </w:t>
      </w:r>
      <w:r w:rsidR="00BF0F10" w:rsidRPr="00EC545A">
        <w:rPr>
          <w:rFonts w:ascii="Arial" w:hAnsi="Arial" w:cs="Arial"/>
        </w:rPr>
        <w:t xml:space="preserve">does it mean for </w:t>
      </w:r>
      <w:r w:rsidR="00145611" w:rsidRPr="00EC545A">
        <w:rPr>
          <w:rFonts w:ascii="Arial" w:hAnsi="Arial" w:cs="Arial"/>
        </w:rPr>
        <w:t>a prosecutor</w:t>
      </w:r>
      <w:r w:rsidR="00BF0F10" w:rsidRPr="00EC545A">
        <w:rPr>
          <w:rFonts w:ascii="Arial" w:hAnsi="Arial" w:cs="Arial"/>
        </w:rPr>
        <w:t xml:space="preserve"> to be </w:t>
      </w:r>
      <w:r w:rsidR="00145611" w:rsidRPr="00EC545A">
        <w:rPr>
          <w:rFonts w:ascii="Arial" w:hAnsi="Arial" w:cs="Arial"/>
        </w:rPr>
        <w:t>a minister</w:t>
      </w:r>
      <w:r w:rsidR="00BF0F10" w:rsidRPr="00EC545A">
        <w:rPr>
          <w:rFonts w:ascii="Arial" w:hAnsi="Arial" w:cs="Arial"/>
        </w:rPr>
        <w:t xml:space="preserve"> of justice? </w:t>
      </w:r>
    </w:p>
    <w:p w14:paraId="1164770A" w14:textId="6630F5C4" w:rsidR="003E0E56" w:rsidRPr="00EC545A" w:rsidRDefault="005A07B1" w:rsidP="003E0E56">
      <w:pPr>
        <w:rPr>
          <w:rFonts w:ascii="Arial" w:hAnsi="Arial" w:cs="Arial"/>
        </w:rPr>
      </w:pPr>
      <w:r w:rsidRPr="00EC545A">
        <w:rPr>
          <w:rFonts w:ascii="Arial" w:hAnsi="Arial" w:cs="Arial"/>
          <w:b/>
        </w:rPr>
        <w:t xml:space="preserve">From </w:t>
      </w:r>
      <w:r w:rsidR="003E0E56" w:rsidRPr="00EC545A">
        <w:rPr>
          <w:rFonts w:ascii="Arial" w:hAnsi="Arial" w:cs="Arial"/>
          <w:b/>
        </w:rPr>
        <w:t>private prosecutions to public prosecutions</w:t>
      </w:r>
    </w:p>
    <w:p w14:paraId="5CDD26E7" w14:textId="43937F42" w:rsidR="00907C32" w:rsidRPr="00EC545A" w:rsidRDefault="003E0E56" w:rsidP="003E0E56">
      <w:pPr>
        <w:rPr>
          <w:rFonts w:ascii="Arial" w:hAnsi="Arial" w:cs="Arial"/>
        </w:rPr>
      </w:pPr>
      <w:r w:rsidRPr="00EC545A">
        <w:rPr>
          <w:rFonts w:ascii="Arial" w:hAnsi="Arial" w:cs="Arial"/>
        </w:rPr>
        <w:t>The idea that prosecutors are ministers of justice</w:t>
      </w:r>
      <w:r w:rsidR="00595DBB" w:rsidRPr="00EC545A">
        <w:rPr>
          <w:rFonts w:ascii="Arial" w:hAnsi="Arial" w:cs="Arial"/>
        </w:rPr>
        <w:t xml:space="preserve"> is founded on </w:t>
      </w:r>
      <w:r w:rsidRPr="00EC545A">
        <w:rPr>
          <w:rFonts w:ascii="Arial" w:hAnsi="Arial" w:cs="Arial"/>
        </w:rPr>
        <w:t xml:space="preserve">the </w:t>
      </w:r>
      <w:r w:rsidR="00C04FB1" w:rsidRPr="00EC545A">
        <w:rPr>
          <w:rFonts w:ascii="Arial" w:hAnsi="Arial" w:cs="Arial"/>
        </w:rPr>
        <w:t xml:space="preserve">premise that </w:t>
      </w:r>
      <w:r w:rsidR="00907C32" w:rsidRPr="00EC545A">
        <w:rPr>
          <w:rFonts w:ascii="Arial" w:hAnsi="Arial" w:cs="Arial"/>
        </w:rPr>
        <w:t>the competent prosecution of criminal offences is a fundamental term of our social contract.</w:t>
      </w:r>
      <w:r w:rsidR="00907C32" w:rsidRPr="00EC545A">
        <w:rPr>
          <w:rStyle w:val="FootnoteReference"/>
          <w:rFonts w:ascii="Arial" w:hAnsi="Arial" w:cs="Arial"/>
        </w:rPr>
        <w:footnoteReference w:id="11"/>
      </w:r>
      <w:r w:rsidR="00907C32" w:rsidRPr="00EC545A">
        <w:rPr>
          <w:rFonts w:ascii="Arial" w:hAnsi="Arial" w:cs="Arial"/>
        </w:rPr>
        <w:t xml:space="preserve"> </w:t>
      </w:r>
    </w:p>
    <w:p w14:paraId="43619B9E" w14:textId="77777777" w:rsidR="00462A82" w:rsidRPr="00EC545A" w:rsidRDefault="00595DBB" w:rsidP="00FC0A90">
      <w:pPr>
        <w:rPr>
          <w:rFonts w:ascii="Arial" w:hAnsi="Arial" w:cs="Arial"/>
        </w:rPr>
      </w:pPr>
      <w:r w:rsidRPr="00EC545A">
        <w:rPr>
          <w:rFonts w:ascii="Arial" w:hAnsi="Arial" w:cs="Arial"/>
        </w:rPr>
        <w:t>I</w:t>
      </w:r>
      <w:r w:rsidR="00B468DE" w:rsidRPr="00EC545A">
        <w:rPr>
          <w:rFonts w:ascii="Arial" w:hAnsi="Arial" w:cs="Arial"/>
        </w:rPr>
        <w:t>n the mid</w:t>
      </w:r>
      <w:r w:rsidR="00D708BB" w:rsidRPr="00EC545A">
        <w:rPr>
          <w:rFonts w:ascii="Arial" w:hAnsi="Arial" w:cs="Arial"/>
        </w:rPr>
        <w:t>-</w:t>
      </w:r>
      <w:r w:rsidRPr="00EC545A">
        <w:rPr>
          <w:rFonts w:ascii="Arial" w:hAnsi="Arial" w:cs="Arial"/>
        </w:rPr>
        <w:t>19</w:t>
      </w:r>
      <w:r w:rsidRPr="00EC545A">
        <w:rPr>
          <w:rFonts w:ascii="Arial" w:hAnsi="Arial" w:cs="Arial"/>
          <w:vertAlign w:val="superscript"/>
        </w:rPr>
        <w:t>th</w:t>
      </w:r>
      <w:r w:rsidRPr="00EC545A">
        <w:rPr>
          <w:rFonts w:ascii="Arial" w:hAnsi="Arial" w:cs="Arial"/>
        </w:rPr>
        <w:t xml:space="preserve"> century</w:t>
      </w:r>
      <w:r w:rsidR="00462A82" w:rsidRPr="00EC545A">
        <w:rPr>
          <w:rFonts w:ascii="Arial" w:hAnsi="Arial" w:cs="Arial"/>
        </w:rPr>
        <w:t>,</w:t>
      </w:r>
      <w:r w:rsidRPr="00EC545A">
        <w:rPr>
          <w:rFonts w:ascii="Arial" w:hAnsi="Arial" w:cs="Arial"/>
        </w:rPr>
        <w:t xml:space="preserve"> </w:t>
      </w:r>
      <w:r w:rsidR="00B468DE" w:rsidRPr="00EC545A">
        <w:rPr>
          <w:rFonts w:ascii="Arial" w:hAnsi="Arial" w:cs="Arial"/>
        </w:rPr>
        <w:t>the</w:t>
      </w:r>
      <w:r w:rsidRPr="00EC545A">
        <w:rPr>
          <w:rFonts w:ascii="Arial" w:hAnsi="Arial" w:cs="Arial"/>
        </w:rPr>
        <w:t xml:space="preserve"> conceptualisation of the prosecutor’s role </w:t>
      </w:r>
      <w:r w:rsidR="00B468DE" w:rsidRPr="00EC545A">
        <w:rPr>
          <w:rFonts w:ascii="Arial" w:hAnsi="Arial" w:cs="Arial"/>
        </w:rPr>
        <w:t xml:space="preserve">as being a minister of justice </w:t>
      </w:r>
      <w:r w:rsidR="00907C32" w:rsidRPr="00EC545A">
        <w:rPr>
          <w:rFonts w:ascii="Arial" w:hAnsi="Arial" w:cs="Arial"/>
        </w:rPr>
        <w:t>developed</w:t>
      </w:r>
      <w:r w:rsidR="00B468DE" w:rsidRPr="00EC545A">
        <w:rPr>
          <w:rFonts w:ascii="Arial" w:hAnsi="Arial" w:cs="Arial"/>
        </w:rPr>
        <w:t xml:space="preserve"> parallel to the </w:t>
      </w:r>
      <w:r w:rsidR="00907C32" w:rsidRPr="00EC545A">
        <w:rPr>
          <w:rFonts w:ascii="Arial" w:hAnsi="Arial" w:cs="Arial"/>
        </w:rPr>
        <w:t xml:space="preserve">shift </w:t>
      </w:r>
      <w:r w:rsidRPr="00EC545A">
        <w:rPr>
          <w:rFonts w:ascii="Arial" w:hAnsi="Arial" w:cs="Arial"/>
        </w:rPr>
        <w:t xml:space="preserve">in England </w:t>
      </w:r>
      <w:r w:rsidR="00907C32" w:rsidRPr="00EC545A">
        <w:rPr>
          <w:rFonts w:ascii="Arial" w:hAnsi="Arial" w:cs="Arial"/>
        </w:rPr>
        <w:t>from private prosecution</w:t>
      </w:r>
      <w:r w:rsidRPr="00EC545A">
        <w:rPr>
          <w:rFonts w:ascii="Arial" w:hAnsi="Arial" w:cs="Arial"/>
        </w:rPr>
        <w:t>s</w:t>
      </w:r>
      <w:r w:rsidR="00907C32" w:rsidRPr="00EC545A">
        <w:rPr>
          <w:rFonts w:ascii="Arial" w:hAnsi="Arial" w:cs="Arial"/>
        </w:rPr>
        <w:t xml:space="preserve"> to public prosecution</w:t>
      </w:r>
      <w:r w:rsidRPr="00EC545A">
        <w:rPr>
          <w:rFonts w:ascii="Arial" w:hAnsi="Arial" w:cs="Arial"/>
        </w:rPr>
        <w:t xml:space="preserve">s. </w:t>
      </w:r>
    </w:p>
    <w:p w14:paraId="52B8754F" w14:textId="2CD2BACE" w:rsidR="00C04FB1" w:rsidRPr="00EC545A" w:rsidRDefault="00595DBB" w:rsidP="00FC0A90">
      <w:pPr>
        <w:rPr>
          <w:rFonts w:ascii="Arial" w:hAnsi="Arial" w:cs="Arial"/>
        </w:rPr>
      </w:pPr>
      <w:r w:rsidRPr="00EC545A">
        <w:rPr>
          <w:rFonts w:ascii="Arial" w:hAnsi="Arial" w:cs="Arial"/>
        </w:rPr>
        <w:t>P</w:t>
      </w:r>
      <w:r w:rsidR="00907C32" w:rsidRPr="00EC545A">
        <w:rPr>
          <w:rFonts w:ascii="Arial" w:hAnsi="Arial" w:cs="Arial"/>
        </w:rPr>
        <w:t xml:space="preserve">rior to the enactment of the </w:t>
      </w:r>
      <w:r w:rsidR="00907C32" w:rsidRPr="00EC545A">
        <w:rPr>
          <w:rFonts w:ascii="Arial" w:hAnsi="Arial" w:cs="Arial"/>
          <w:i/>
        </w:rPr>
        <w:t xml:space="preserve">Metropolitan Police Act 1829 </w:t>
      </w:r>
      <w:r w:rsidR="00907C32" w:rsidRPr="00EC545A">
        <w:rPr>
          <w:rFonts w:ascii="Arial" w:hAnsi="Arial" w:cs="Arial"/>
        </w:rPr>
        <w:t>(UK)</w:t>
      </w:r>
      <w:r w:rsidR="00476373" w:rsidRPr="00EC545A">
        <w:rPr>
          <w:rFonts w:ascii="Arial" w:hAnsi="Arial" w:cs="Arial"/>
        </w:rPr>
        <w:t xml:space="preserve"> </w:t>
      </w:r>
      <w:r w:rsidR="00740D57" w:rsidRPr="00EC545A">
        <w:rPr>
          <w:rFonts w:ascii="Arial" w:hAnsi="Arial" w:cs="Arial"/>
        </w:rPr>
        <w:t>(</w:t>
      </w:r>
      <w:r w:rsidR="00476373" w:rsidRPr="00EC545A">
        <w:rPr>
          <w:rFonts w:ascii="Arial" w:hAnsi="Arial" w:cs="Arial"/>
        </w:rPr>
        <w:t>which created the first modern police forces with some power to prosecute offences</w:t>
      </w:r>
      <w:r w:rsidR="00740D57" w:rsidRPr="00EC545A">
        <w:rPr>
          <w:rFonts w:ascii="Arial" w:hAnsi="Arial" w:cs="Arial"/>
        </w:rPr>
        <w:t>),</w:t>
      </w:r>
      <w:r w:rsidR="00C04FB1" w:rsidRPr="00EC545A">
        <w:rPr>
          <w:rFonts w:ascii="Arial" w:hAnsi="Arial" w:cs="Arial"/>
        </w:rPr>
        <w:t xml:space="preserve"> nearly all offences we</w:t>
      </w:r>
      <w:r w:rsidR="00476373" w:rsidRPr="00EC545A">
        <w:rPr>
          <w:rFonts w:ascii="Arial" w:hAnsi="Arial" w:cs="Arial"/>
        </w:rPr>
        <w:t>re prosecuted privately by victims at their own</w:t>
      </w:r>
      <w:r w:rsidRPr="00EC545A">
        <w:rPr>
          <w:rFonts w:ascii="Arial" w:hAnsi="Arial" w:cs="Arial"/>
        </w:rPr>
        <w:t xml:space="preserve"> expense</w:t>
      </w:r>
      <w:r w:rsidR="00476373" w:rsidRPr="00EC545A">
        <w:rPr>
          <w:rFonts w:ascii="Arial" w:hAnsi="Arial" w:cs="Arial"/>
        </w:rPr>
        <w:t>.</w:t>
      </w:r>
      <w:r w:rsidR="00476373" w:rsidRPr="00EC545A">
        <w:rPr>
          <w:rStyle w:val="FootnoteReference"/>
          <w:rFonts w:ascii="Arial" w:hAnsi="Arial" w:cs="Arial"/>
        </w:rPr>
        <w:footnoteReference w:id="12"/>
      </w:r>
      <w:r w:rsidR="00FC0A90" w:rsidRPr="00EC545A">
        <w:rPr>
          <w:rFonts w:ascii="Arial" w:hAnsi="Arial" w:cs="Arial"/>
        </w:rPr>
        <w:t xml:space="preserve"> To put the matter in context, the first</w:t>
      </w:r>
      <w:r w:rsidRPr="00EC545A">
        <w:rPr>
          <w:rFonts w:ascii="Arial" w:hAnsi="Arial" w:cs="Arial"/>
        </w:rPr>
        <w:t xml:space="preserve"> office of public prosecutors</w:t>
      </w:r>
      <w:r w:rsidR="00B468DE" w:rsidRPr="00EC545A">
        <w:rPr>
          <w:rFonts w:ascii="Arial" w:hAnsi="Arial" w:cs="Arial"/>
        </w:rPr>
        <w:t xml:space="preserve"> (</w:t>
      </w:r>
      <w:r w:rsidRPr="00EC545A">
        <w:rPr>
          <w:rFonts w:ascii="Arial" w:hAnsi="Arial" w:cs="Arial"/>
        </w:rPr>
        <w:t xml:space="preserve">probably police officers who lacked any </w:t>
      </w:r>
      <w:r w:rsidR="00B468DE" w:rsidRPr="00EC545A">
        <w:rPr>
          <w:rFonts w:ascii="Arial" w:hAnsi="Arial" w:cs="Arial"/>
        </w:rPr>
        <w:t>legal training)</w:t>
      </w:r>
      <w:r w:rsidR="00FC0A90" w:rsidRPr="00EC545A">
        <w:rPr>
          <w:rFonts w:ascii="Arial" w:hAnsi="Arial" w:cs="Arial"/>
        </w:rPr>
        <w:t xml:space="preserve"> was created only 10 years after the right to trial by combat was formally abolished in England,</w:t>
      </w:r>
      <w:r w:rsidR="00462A82" w:rsidRPr="00EC545A">
        <w:rPr>
          <w:rStyle w:val="FootnoteReference"/>
          <w:rFonts w:ascii="Arial" w:hAnsi="Arial" w:cs="Arial"/>
        </w:rPr>
        <w:footnoteReference w:id="13"/>
      </w:r>
      <w:r w:rsidR="00FC0A90" w:rsidRPr="00EC545A">
        <w:rPr>
          <w:rFonts w:ascii="Arial" w:hAnsi="Arial" w:cs="Arial"/>
        </w:rPr>
        <w:t xml:space="preserve"> after the King</w:t>
      </w:r>
      <w:r w:rsidR="00054C24" w:rsidRPr="00EC545A">
        <w:rPr>
          <w:rFonts w:ascii="Arial" w:hAnsi="Arial" w:cs="Arial"/>
        </w:rPr>
        <w:t>’</w:t>
      </w:r>
      <w:r w:rsidR="00FC0A90" w:rsidRPr="00EC545A">
        <w:rPr>
          <w:rFonts w:ascii="Arial" w:hAnsi="Arial" w:cs="Arial"/>
        </w:rPr>
        <w:t xml:space="preserve">s Bench upheld the right in </w:t>
      </w:r>
      <w:r w:rsidR="00FC0A90" w:rsidRPr="00EC545A">
        <w:rPr>
          <w:rFonts w:ascii="Arial" w:hAnsi="Arial" w:cs="Arial"/>
          <w:i/>
        </w:rPr>
        <w:t>Ashford v Thornton</w:t>
      </w:r>
      <w:r w:rsidR="00FC0A90" w:rsidRPr="00EC545A">
        <w:rPr>
          <w:rFonts w:ascii="Arial" w:hAnsi="Arial" w:cs="Arial"/>
        </w:rPr>
        <w:t>.</w:t>
      </w:r>
      <w:r w:rsidR="00FC0A90" w:rsidRPr="00EC545A">
        <w:rPr>
          <w:rStyle w:val="FootnoteReference"/>
          <w:rFonts w:ascii="Arial" w:hAnsi="Arial" w:cs="Arial"/>
        </w:rPr>
        <w:footnoteReference w:id="14"/>
      </w:r>
      <w:r w:rsidR="00FC0A90" w:rsidRPr="00EC545A">
        <w:rPr>
          <w:rFonts w:ascii="Arial" w:hAnsi="Arial" w:cs="Arial"/>
        </w:rPr>
        <w:t xml:space="preserve"> </w:t>
      </w:r>
    </w:p>
    <w:p w14:paraId="7D7929F0" w14:textId="3BDAC6C6" w:rsidR="00FC0A90" w:rsidRPr="00EC545A" w:rsidRDefault="00FC0A90" w:rsidP="00FC0A90">
      <w:pPr>
        <w:rPr>
          <w:rFonts w:ascii="Arial" w:hAnsi="Arial" w:cs="Arial"/>
        </w:rPr>
      </w:pPr>
      <w:r w:rsidRPr="00EC545A">
        <w:rPr>
          <w:rFonts w:ascii="Arial" w:hAnsi="Arial" w:cs="Arial"/>
        </w:rPr>
        <w:t>I</w:t>
      </w:r>
      <w:r w:rsidR="00C04FB1" w:rsidRPr="00EC545A">
        <w:rPr>
          <w:rFonts w:ascii="Arial" w:hAnsi="Arial" w:cs="Arial"/>
        </w:rPr>
        <w:t xml:space="preserve"> know that there </w:t>
      </w:r>
      <w:r w:rsidRPr="00EC545A">
        <w:rPr>
          <w:rFonts w:ascii="Arial" w:hAnsi="Arial" w:cs="Arial"/>
        </w:rPr>
        <w:t>are some</w:t>
      </w:r>
      <w:r w:rsidR="00C04FB1" w:rsidRPr="00EC545A">
        <w:rPr>
          <w:rFonts w:ascii="Arial" w:hAnsi="Arial" w:cs="Arial"/>
        </w:rPr>
        <w:t xml:space="preserve"> keen </w:t>
      </w:r>
      <w:r w:rsidRPr="00EC545A">
        <w:rPr>
          <w:rFonts w:ascii="Arial" w:hAnsi="Arial" w:cs="Arial"/>
        </w:rPr>
        <w:t xml:space="preserve">prosecutors in this room, but I doubt they would </w:t>
      </w:r>
      <w:r w:rsidR="002F3AF5" w:rsidRPr="00EC545A">
        <w:rPr>
          <w:rFonts w:ascii="Arial" w:hAnsi="Arial" w:cs="Arial"/>
        </w:rPr>
        <w:t xml:space="preserve">be willing to </w:t>
      </w:r>
      <w:r w:rsidRPr="00EC545A">
        <w:rPr>
          <w:rFonts w:ascii="Arial" w:hAnsi="Arial" w:cs="Arial"/>
        </w:rPr>
        <w:t>put their life on the line;</w:t>
      </w:r>
      <w:r w:rsidR="00C04FB1" w:rsidRPr="00EC545A">
        <w:rPr>
          <w:rFonts w:ascii="Arial" w:hAnsi="Arial" w:cs="Arial"/>
        </w:rPr>
        <w:t xml:space="preserve"> despite his strict </w:t>
      </w:r>
      <w:r w:rsidRPr="00EC545A">
        <w:rPr>
          <w:rFonts w:ascii="Arial" w:hAnsi="Arial" w:cs="Arial"/>
        </w:rPr>
        <w:t xml:space="preserve">fitness routine, </w:t>
      </w:r>
      <w:r w:rsidR="00C04FB1" w:rsidRPr="00EC545A">
        <w:rPr>
          <w:rFonts w:ascii="Arial" w:hAnsi="Arial" w:cs="Arial"/>
        </w:rPr>
        <w:t xml:space="preserve">I doubt that even </w:t>
      </w:r>
      <w:r w:rsidRPr="00EC545A">
        <w:rPr>
          <w:rFonts w:ascii="Arial" w:hAnsi="Arial" w:cs="Arial"/>
        </w:rPr>
        <w:t xml:space="preserve">the Director would be up for a sword fight today. </w:t>
      </w:r>
    </w:p>
    <w:p w14:paraId="2CC3321F" w14:textId="3E066549" w:rsidR="00907C32" w:rsidRPr="00EC545A" w:rsidRDefault="00FC0A90" w:rsidP="003E0E56">
      <w:pPr>
        <w:rPr>
          <w:rFonts w:ascii="Arial" w:hAnsi="Arial" w:cs="Arial"/>
        </w:rPr>
      </w:pPr>
      <w:r w:rsidRPr="00EC545A">
        <w:rPr>
          <w:rFonts w:ascii="Arial" w:hAnsi="Arial" w:cs="Arial"/>
        </w:rPr>
        <w:t>The</w:t>
      </w:r>
      <w:r w:rsidR="00C04FB1" w:rsidRPr="00EC545A">
        <w:rPr>
          <w:rFonts w:ascii="Arial" w:hAnsi="Arial" w:cs="Arial"/>
        </w:rPr>
        <w:t xml:space="preserve"> flaws of private prosecutions were</w:t>
      </w:r>
      <w:r w:rsidRPr="00EC545A">
        <w:rPr>
          <w:rFonts w:ascii="Arial" w:hAnsi="Arial" w:cs="Arial"/>
        </w:rPr>
        <w:t xml:space="preserve"> obvious. In</w:t>
      </w:r>
      <w:r w:rsidR="006F1DD3" w:rsidRPr="00EC545A">
        <w:rPr>
          <w:rFonts w:ascii="Arial" w:hAnsi="Arial" w:cs="Arial"/>
        </w:rPr>
        <w:t xml:space="preserve"> 1845, a Royal Commission reported that</w:t>
      </w:r>
      <w:r w:rsidR="00C04FB1" w:rsidRPr="00EC545A">
        <w:rPr>
          <w:rFonts w:ascii="Arial" w:hAnsi="Arial" w:cs="Arial"/>
        </w:rPr>
        <w:t>:</w:t>
      </w:r>
    </w:p>
    <w:p w14:paraId="544E5E5B" w14:textId="217D888B" w:rsidR="006F1DD3" w:rsidRPr="00EC545A" w:rsidRDefault="006F1DD3" w:rsidP="006F1DD3">
      <w:pPr>
        <w:ind w:left="720"/>
        <w:rPr>
          <w:rFonts w:ascii="Arial" w:hAnsi="Arial" w:cs="Arial"/>
          <w:sz w:val="20"/>
        </w:rPr>
      </w:pPr>
      <w:r w:rsidRPr="00EC545A">
        <w:rPr>
          <w:rFonts w:ascii="Arial" w:hAnsi="Arial" w:cs="Arial"/>
          <w:sz w:val="20"/>
        </w:rPr>
        <w:t>The duty of prosecution is usually irksome, inconvenient and burthensome; the injured party would often rather forg</w:t>
      </w:r>
      <w:r w:rsidR="00F83D8B" w:rsidRPr="00EC545A">
        <w:rPr>
          <w:rFonts w:ascii="Arial" w:hAnsi="Arial" w:cs="Arial"/>
          <w:sz w:val="20"/>
        </w:rPr>
        <w:t>e</w:t>
      </w:r>
      <w:r w:rsidRPr="00EC545A">
        <w:rPr>
          <w:rFonts w:ascii="Arial" w:hAnsi="Arial" w:cs="Arial"/>
          <w:sz w:val="20"/>
        </w:rPr>
        <w:t>t the prosecution than incur expense of time, labour and money. When, therefore, the party injured is compelled by the magistrate to act as prosecutor, the duty is frequently performed unwillingly and carelessly.</w:t>
      </w:r>
      <w:r w:rsidR="00FC0A90" w:rsidRPr="00EC545A">
        <w:rPr>
          <w:rStyle w:val="FootnoteReference"/>
          <w:rFonts w:ascii="Arial" w:hAnsi="Arial" w:cs="Arial"/>
          <w:sz w:val="20"/>
        </w:rPr>
        <w:footnoteReference w:id="15"/>
      </w:r>
      <w:r w:rsidRPr="00EC545A">
        <w:rPr>
          <w:rFonts w:ascii="Arial" w:hAnsi="Arial" w:cs="Arial"/>
          <w:sz w:val="20"/>
        </w:rPr>
        <w:t xml:space="preserve"> </w:t>
      </w:r>
    </w:p>
    <w:p w14:paraId="2B154035" w14:textId="571D8903" w:rsidR="002F3AF5" w:rsidRPr="00EC545A" w:rsidRDefault="002F3AF5" w:rsidP="003E0E56">
      <w:pPr>
        <w:rPr>
          <w:rFonts w:ascii="Arial" w:hAnsi="Arial" w:cs="Arial"/>
        </w:rPr>
      </w:pPr>
      <w:r w:rsidRPr="00EC545A">
        <w:rPr>
          <w:rFonts w:ascii="Arial" w:hAnsi="Arial" w:cs="Arial"/>
        </w:rPr>
        <w:t>In England, the Treasury Solicitor’s Department was granted statutory power to take on prosecutions of particular importance in 1856.</w:t>
      </w:r>
      <w:r w:rsidRPr="00EC545A">
        <w:rPr>
          <w:rStyle w:val="FootnoteReference"/>
          <w:rFonts w:ascii="Arial" w:hAnsi="Arial" w:cs="Arial"/>
        </w:rPr>
        <w:footnoteReference w:id="16"/>
      </w:r>
      <w:r w:rsidRPr="00EC545A">
        <w:rPr>
          <w:rFonts w:ascii="Arial" w:hAnsi="Arial" w:cs="Arial"/>
        </w:rPr>
        <w:t xml:space="preserve"> </w:t>
      </w:r>
      <w:r w:rsidR="002209C7">
        <w:rPr>
          <w:rFonts w:ascii="Arial" w:hAnsi="Arial" w:cs="Arial"/>
        </w:rPr>
        <w:t>Twenty-three</w:t>
      </w:r>
      <w:r w:rsidR="00AF4596" w:rsidRPr="00EC545A">
        <w:rPr>
          <w:rFonts w:ascii="Arial" w:hAnsi="Arial" w:cs="Arial"/>
        </w:rPr>
        <w:t xml:space="preserve"> years later, and 14 years after </w:t>
      </w:r>
      <w:proofErr w:type="spellStart"/>
      <w:r w:rsidR="00AF4596" w:rsidRPr="00EC545A">
        <w:rPr>
          <w:rFonts w:ascii="Arial" w:hAnsi="Arial" w:cs="Arial"/>
          <w:i/>
        </w:rPr>
        <w:t>Puddick</w:t>
      </w:r>
      <w:proofErr w:type="spellEnd"/>
      <w:r w:rsidR="00AF4596" w:rsidRPr="00EC545A">
        <w:rPr>
          <w:rFonts w:ascii="Arial" w:hAnsi="Arial" w:cs="Arial"/>
        </w:rPr>
        <w:t xml:space="preserve">, the first Director of Public Prosecutions </w:t>
      </w:r>
      <w:r w:rsidR="003D320D" w:rsidRPr="00EC545A">
        <w:rPr>
          <w:rFonts w:ascii="Arial" w:hAnsi="Arial" w:cs="Arial"/>
        </w:rPr>
        <w:t xml:space="preserve">position </w:t>
      </w:r>
      <w:r w:rsidR="00AF4596" w:rsidRPr="00EC545A">
        <w:rPr>
          <w:rFonts w:ascii="Arial" w:hAnsi="Arial" w:cs="Arial"/>
        </w:rPr>
        <w:t>was created.</w:t>
      </w:r>
      <w:r w:rsidR="00AF4596" w:rsidRPr="00EC545A">
        <w:rPr>
          <w:rStyle w:val="FootnoteReference"/>
          <w:rFonts w:ascii="Arial" w:hAnsi="Arial" w:cs="Arial"/>
        </w:rPr>
        <w:footnoteReference w:id="17"/>
      </w:r>
      <w:r w:rsidR="009611A6" w:rsidRPr="00EC545A">
        <w:rPr>
          <w:rFonts w:ascii="Arial" w:hAnsi="Arial" w:cs="Arial"/>
        </w:rPr>
        <w:t xml:space="preserve"> </w:t>
      </w:r>
    </w:p>
    <w:p w14:paraId="0F0E7907" w14:textId="0746626B" w:rsidR="003D320D" w:rsidRPr="00EC545A" w:rsidRDefault="003D320D" w:rsidP="00BF0F10">
      <w:pPr>
        <w:rPr>
          <w:rFonts w:ascii="Arial" w:hAnsi="Arial" w:cs="Arial"/>
        </w:rPr>
      </w:pPr>
      <w:r w:rsidRPr="00EC545A">
        <w:rPr>
          <w:rFonts w:ascii="Arial" w:hAnsi="Arial" w:cs="Arial"/>
        </w:rPr>
        <w:t>In Australia today, it is still possible to bring a private prosecution</w:t>
      </w:r>
      <w:r w:rsidR="00EE359B" w:rsidRPr="00EC545A">
        <w:rPr>
          <w:rFonts w:ascii="Arial" w:hAnsi="Arial" w:cs="Arial"/>
        </w:rPr>
        <w:t>.</w:t>
      </w:r>
      <w:r w:rsidR="009611A6" w:rsidRPr="00EC545A">
        <w:rPr>
          <w:rStyle w:val="FootnoteReference"/>
          <w:rFonts w:ascii="Arial" w:hAnsi="Arial" w:cs="Arial"/>
        </w:rPr>
        <w:footnoteReference w:id="18"/>
      </w:r>
      <w:r w:rsidR="009611A6" w:rsidRPr="00EC545A">
        <w:rPr>
          <w:rFonts w:ascii="Arial" w:hAnsi="Arial" w:cs="Arial"/>
        </w:rPr>
        <w:t xml:space="preserve"> </w:t>
      </w:r>
      <w:r w:rsidR="00233FC2" w:rsidRPr="00EC545A">
        <w:rPr>
          <w:rFonts w:ascii="Arial" w:hAnsi="Arial" w:cs="Arial"/>
        </w:rPr>
        <w:t xml:space="preserve">However, </w:t>
      </w:r>
      <w:r w:rsidR="00EE359B" w:rsidRPr="00EC545A">
        <w:rPr>
          <w:rFonts w:ascii="Arial" w:hAnsi="Arial" w:cs="Arial"/>
        </w:rPr>
        <w:t xml:space="preserve">in </w:t>
      </w:r>
      <w:r w:rsidR="00233FC2" w:rsidRPr="00EC545A">
        <w:rPr>
          <w:rFonts w:ascii="Arial" w:hAnsi="Arial" w:cs="Arial"/>
        </w:rPr>
        <w:t>the ACT</w:t>
      </w:r>
      <w:r w:rsidR="00EE359B" w:rsidRPr="00EC545A">
        <w:rPr>
          <w:rFonts w:ascii="Arial" w:hAnsi="Arial" w:cs="Arial"/>
        </w:rPr>
        <w:t>, the</w:t>
      </w:r>
      <w:r w:rsidR="00233FC2" w:rsidRPr="00EC545A">
        <w:rPr>
          <w:rFonts w:ascii="Arial" w:hAnsi="Arial" w:cs="Arial"/>
        </w:rPr>
        <w:t xml:space="preserve"> DPP </w:t>
      </w:r>
      <w:r w:rsidR="003C3E29" w:rsidRPr="00EC545A">
        <w:rPr>
          <w:rFonts w:ascii="Arial" w:hAnsi="Arial" w:cs="Arial"/>
        </w:rPr>
        <w:t>is empowered to take over</w:t>
      </w:r>
      <w:r w:rsidRPr="00EC545A">
        <w:rPr>
          <w:rFonts w:ascii="Arial" w:hAnsi="Arial" w:cs="Arial"/>
        </w:rPr>
        <w:t xml:space="preserve"> any private prosecution at any stage</w:t>
      </w:r>
      <w:r w:rsidR="003C3E29" w:rsidRPr="00EC545A">
        <w:rPr>
          <w:rFonts w:ascii="Arial" w:hAnsi="Arial" w:cs="Arial"/>
        </w:rPr>
        <w:t>.</w:t>
      </w:r>
      <w:r w:rsidR="003C3E29" w:rsidRPr="00EC545A">
        <w:rPr>
          <w:rStyle w:val="FootnoteReference"/>
          <w:rFonts w:ascii="Arial" w:hAnsi="Arial" w:cs="Arial"/>
        </w:rPr>
        <w:footnoteReference w:id="19"/>
      </w:r>
      <w:r w:rsidR="00BA7E87" w:rsidRPr="00EC545A">
        <w:rPr>
          <w:rFonts w:ascii="Arial" w:hAnsi="Arial" w:cs="Arial"/>
        </w:rPr>
        <w:t xml:space="preserve"> </w:t>
      </w:r>
    </w:p>
    <w:p w14:paraId="7F08D889" w14:textId="77777777" w:rsidR="00BF0F10" w:rsidRPr="00EC545A" w:rsidRDefault="00BF0F10" w:rsidP="00BF0F10">
      <w:pPr>
        <w:rPr>
          <w:rFonts w:ascii="Arial" w:hAnsi="Arial" w:cs="Arial"/>
          <w:b/>
        </w:rPr>
      </w:pPr>
      <w:r w:rsidRPr="00EC545A">
        <w:rPr>
          <w:rFonts w:ascii="Arial" w:hAnsi="Arial" w:cs="Arial"/>
          <w:b/>
        </w:rPr>
        <w:t>Prosecutor’s duties</w:t>
      </w:r>
    </w:p>
    <w:p w14:paraId="341F7362" w14:textId="77777777" w:rsidR="009B581E" w:rsidRPr="00EC545A" w:rsidRDefault="008A1649" w:rsidP="006C5A5C">
      <w:pPr>
        <w:rPr>
          <w:rFonts w:ascii="Arial" w:hAnsi="Arial" w:cs="Arial"/>
        </w:rPr>
      </w:pPr>
      <w:r w:rsidRPr="00EC545A">
        <w:rPr>
          <w:rFonts w:ascii="Arial" w:hAnsi="Arial" w:cs="Arial"/>
        </w:rPr>
        <w:t>Like all lawyers, prosecutors are officers of the Court,</w:t>
      </w:r>
      <w:r w:rsidRPr="00EC545A">
        <w:rPr>
          <w:rStyle w:val="FootnoteReference"/>
          <w:rFonts w:ascii="Arial" w:hAnsi="Arial" w:cs="Arial"/>
        </w:rPr>
        <w:footnoteReference w:id="20"/>
      </w:r>
      <w:r w:rsidR="005F23E6" w:rsidRPr="00EC545A">
        <w:rPr>
          <w:rFonts w:ascii="Arial" w:hAnsi="Arial" w:cs="Arial"/>
        </w:rPr>
        <w:t xml:space="preserve"> and </w:t>
      </w:r>
      <w:r w:rsidRPr="00EC545A">
        <w:rPr>
          <w:rFonts w:ascii="Arial" w:hAnsi="Arial" w:cs="Arial"/>
        </w:rPr>
        <w:t xml:space="preserve">their paramount duty </w:t>
      </w:r>
      <w:r w:rsidR="004B07F1" w:rsidRPr="00EC545A">
        <w:rPr>
          <w:rFonts w:ascii="Arial" w:hAnsi="Arial" w:cs="Arial"/>
        </w:rPr>
        <w:t xml:space="preserve">is </w:t>
      </w:r>
      <w:r w:rsidRPr="00EC545A">
        <w:rPr>
          <w:rFonts w:ascii="Arial" w:hAnsi="Arial" w:cs="Arial"/>
        </w:rPr>
        <w:t>to the Court and the administration of justice.</w:t>
      </w:r>
      <w:r w:rsidRPr="00EC545A">
        <w:rPr>
          <w:rStyle w:val="FootnoteReference"/>
          <w:rFonts w:ascii="Arial" w:hAnsi="Arial" w:cs="Arial"/>
        </w:rPr>
        <w:footnoteReference w:id="21"/>
      </w:r>
      <w:r w:rsidR="006C5A5C" w:rsidRPr="00EC545A">
        <w:rPr>
          <w:rFonts w:ascii="Arial" w:hAnsi="Arial" w:cs="Arial"/>
        </w:rPr>
        <w:t xml:space="preserve"> All </w:t>
      </w:r>
      <w:r w:rsidR="00852E6B" w:rsidRPr="00EC545A">
        <w:rPr>
          <w:rFonts w:ascii="Arial" w:hAnsi="Arial" w:cs="Arial"/>
        </w:rPr>
        <w:t xml:space="preserve">lawyers are ministers of justice. </w:t>
      </w:r>
    </w:p>
    <w:p w14:paraId="71A1D263" w14:textId="2F79F767" w:rsidR="00BC3B8E" w:rsidRPr="00EC545A" w:rsidRDefault="006C5A5C" w:rsidP="006C5A5C">
      <w:pPr>
        <w:rPr>
          <w:rFonts w:ascii="Arial" w:hAnsi="Arial" w:cs="Arial"/>
        </w:rPr>
      </w:pPr>
      <w:r w:rsidRPr="00EC545A">
        <w:rPr>
          <w:rFonts w:ascii="Arial" w:hAnsi="Arial" w:cs="Arial"/>
        </w:rPr>
        <w:t>But</w:t>
      </w:r>
      <w:r w:rsidR="00852E6B" w:rsidRPr="00EC545A">
        <w:rPr>
          <w:rFonts w:ascii="Arial" w:hAnsi="Arial" w:cs="Arial"/>
        </w:rPr>
        <w:t xml:space="preserve"> </w:t>
      </w:r>
      <w:r w:rsidR="00AE137C" w:rsidRPr="00EC545A">
        <w:rPr>
          <w:rFonts w:ascii="Arial" w:hAnsi="Arial" w:cs="Arial"/>
        </w:rPr>
        <w:t>prosecutors are unique among lawyers in that they</w:t>
      </w:r>
      <w:r w:rsidRPr="00EC545A">
        <w:rPr>
          <w:rFonts w:ascii="Arial" w:hAnsi="Arial" w:cs="Arial"/>
        </w:rPr>
        <w:t xml:space="preserve"> need not</w:t>
      </w:r>
      <w:r w:rsidR="009B581E" w:rsidRPr="00EC545A">
        <w:rPr>
          <w:rFonts w:ascii="Arial" w:hAnsi="Arial" w:cs="Arial"/>
        </w:rPr>
        <w:t xml:space="preserve"> reconcile their duty to the Court and the administration of justice </w:t>
      </w:r>
      <w:r w:rsidRPr="00EC545A">
        <w:rPr>
          <w:rFonts w:ascii="Arial" w:hAnsi="Arial" w:cs="Arial"/>
        </w:rPr>
        <w:t xml:space="preserve">with </w:t>
      </w:r>
      <w:r w:rsidR="009B581E" w:rsidRPr="00EC545A">
        <w:rPr>
          <w:rFonts w:ascii="Arial" w:hAnsi="Arial" w:cs="Arial"/>
        </w:rPr>
        <w:t>a</w:t>
      </w:r>
      <w:r w:rsidRPr="00EC545A">
        <w:rPr>
          <w:rFonts w:ascii="Arial" w:hAnsi="Arial" w:cs="Arial"/>
        </w:rPr>
        <w:t xml:space="preserve"> potentially conflicting duty </w:t>
      </w:r>
      <w:r w:rsidR="009B581E" w:rsidRPr="00EC545A">
        <w:rPr>
          <w:rFonts w:ascii="Arial" w:hAnsi="Arial" w:cs="Arial"/>
        </w:rPr>
        <w:t xml:space="preserve">to </w:t>
      </w:r>
      <w:r w:rsidRPr="00EC545A">
        <w:rPr>
          <w:rFonts w:ascii="Arial" w:hAnsi="Arial" w:cs="Arial"/>
        </w:rPr>
        <w:t>a client</w:t>
      </w:r>
      <w:r w:rsidR="00AE137C" w:rsidRPr="00EC545A">
        <w:rPr>
          <w:rFonts w:ascii="Arial" w:hAnsi="Arial" w:cs="Arial"/>
        </w:rPr>
        <w:t>.</w:t>
      </w:r>
      <w:r w:rsidRPr="00EC545A">
        <w:rPr>
          <w:rFonts w:ascii="Arial" w:hAnsi="Arial" w:cs="Arial"/>
        </w:rPr>
        <w:t xml:space="preserve"> </w:t>
      </w:r>
    </w:p>
    <w:p w14:paraId="5A01C47E" w14:textId="28DB2483" w:rsidR="00BC3B8E" w:rsidRPr="00EC545A" w:rsidRDefault="006C5A5C" w:rsidP="00BC3B8E">
      <w:pPr>
        <w:rPr>
          <w:rFonts w:ascii="Arial" w:hAnsi="Arial" w:cs="Arial"/>
        </w:rPr>
      </w:pPr>
      <w:r w:rsidRPr="00EC545A">
        <w:rPr>
          <w:rFonts w:ascii="Arial" w:hAnsi="Arial" w:cs="Arial"/>
        </w:rPr>
        <w:t>The principles applicable to</w:t>
      </w:r>
      <w:r w:rsidR="00BC3B8E" w:rsidRPr="00EC545A">
        <w:rPr>
          <w:rFonts w:ascii="Arial" w:hAnsi="Arial" w:cs="Arial"/>
        </w:rPr>
        <w:t xml:space="preserve"> ethical </w:t>
      </w:r>
      <w:r w:rsidRPr="00EC545A">
        <w:rPr>
          <w:rFonts w:ascii="Arial" w:hAnsi="Arial" w:cs="Arial"/>
        </w:rPr>
        <w:t>prosecutorial conduct align well with</w:t>
      </w:r>
      <w:r w:rsidR="009B581E" w:rsidRPr="00EC545A">
        <w:rPr>
          <w:rFonts w:ascii="Arial" w:hAnsi="Arial" w:cs="Arial"/>
        </w:rPr>
        <w:t xml:space="preserve"> the principles that apply </w:t>
      </w:r>
      <w:r w:rsidRPr="00EC545A">
        <w:rPr>
          <w:rFonts w:ascii="Arial" w:hAnsi="Arial" w:cs="Arial"/>
        </w:rPr>
        <w:t xml:space="preserve">to ethical judicial conduct. </w:t>
      </w:r>
      <w:r w:rsidR="000569FA" w:rsidRPr="00EC545A">
        <w:rPr>
          <w:rFonts w:ascii="Arial" w:hAnsi="Arial" w:cs="Arial"/>
        </w:rPr>
        <w:t>The t</w:t>
      </w:r>
      <w:r w:rsidR="00BC3B8E" w:rsidRPr="00EC545A">
        <w:rPr>
          <w:rFonts w:ascii="Arial" w:hAnsi="Arial" w:cs="Arial"/>
        </w:rPr>
        <w:t>hree basic principles against which conduct should be tested</w:t>
      </w:r>
      <w:r w:rsidR="000569FA" w:rsidRPr="00EC545A">
        <w:rPr>
          <w:rFonts w:ascii="Arial" w:hAnsi="Arial" w:cs="Arial"/>
        </w:rPr>
        <w:t xml:space="preserve"> are</w:t>
      </w:r>
      <w:r w:rsidR="00BC3B8E" w:rsidRPr="00EC545A">
        <w:rPr>
          <w:rFonts w:ascii="Arial" w:hAnsi="Arial" w:cs="Arial"/>
        </w:rPr>
        <w:t>:</w:t>
      </w:r>
    </w:p>
    <w:p w14:paraId="10DC0771" w14:textId="77777777" w:rsidR="00BC3B8E" w:rsidRPr="00EC545A" w:rsidRDefault="00BC3B8E" w:rsidP="00BC3B8E">
      <w:pPr>
        <w:pStyle w:val="ListParagraph"/>
        <w:numPr>
          <w:ilvl w:val="0"/>
          <w:numId w:val="5"/>
        </w:numPr>
        <w:rPr>
          <w:rFonts w:ascii="Arial" w:hAnsi="Arial" w:cs="Arial"/>
        </w:rPr>
      </w:pPr>
      <w:r w:rsidRPr="00EC545A">
        <w:rPr>
          <w:rFonts w:ascii="Arial" w:hAnsi="Arial" w:cs="Arial"/>
        </w:rPr>
        <w:t>Impartiality</w:t>
      </w:r>
    </w:p>
    <w:p w14:paraId="64164294" w14:textId="77777777" w:rsidR="00BC3B8E" w:rsidRPr="00EC545A" w:rsidRDefault="00BC3B8E" w:rsidP="00BC3B8E">
      <w:pPr>
        <w:pStyle w:val="ListParagraph"/>
        <w:numPr>
          <w:ilvl w:val="0"/>
          <w:numId w:val="5"/>
        </w:numPr>
        <w:rPr>
          <w:rFonts w:ascii="Arial" w:hAnsi="Arial" w:cs="Arial"/>
        </w:rPr>
      </w:pPr>
      <w:r w:rsidRPr="00EC545A">
        <w:rPr>
          <w:rFonts w:ascii="Arial" w:hAnsi="Arial" w:cs="Arial"/>
        </w:rPr>
        <w:t>Independence</w:t>
      </w:r>
    </w:p>
    <w:p w14:paraId="45052160" w14:textId="77777777" w:rsidR="00BC3B8E" w:rsidRPr="00EC545A" w:rsidRDefault="00BC3B8E" w:rsidP="00BC3B8E">
      <w:pPr>
        <w:pStyle w:val="ListParagraph"/>
        <w:numPr>
          <w:ilvl w:val="0"/>
          <w:numId w:val="5"/>
        </w:numPr>
        <w:rPr>
          <w:rFonts w:ascii="Arial" w:hAnsi="Arial" w:cs="Arial"/>
        </w:rPr>
      </w:pPr>
      <w:r w:rsidRPr="00EC545A">
        <w:rPr>
          <w:rFonts w:ascii="Arial" w:hAnsi="Arial" w:cs="Arial"/>
        </w:rPr>
        <w:t>Integrity</w:t>
      </w:r>
    </w:p>
    <w:p w14:paraId="535ABB49" w14:textId="57E46CEA" w:rsidR="000569FA" w:rsidRPr="00EC545A" w:rsidRDefault="00BC3B8E" w:rsidP="00BC3B8E">
      <w:pPr>
        <w:rPr>
          <w:rFonts w:ascii="Arial" w:hAnsi="Arial" w:cs="Arial"/>
        </w:rPr>
      </w:pPr>
      <w:r w:rsidRPr="00EC545A">
        <w:rPr>
          <w:rFonts w:ascii="Arial" w:hAnsi="Arial" w:cs="Arial"/>
        </w:rPr>
        <w:t xml:space="preserve">These principles have </w:t>
      </w:r>
      <w:r w:rsidR="000569FA" w:rsidRPr="00EC545A">
        <w:rPr>
          <w:rFonts w:ascii="Arial" w:hAnsi="Arial" w:cs="Arial"/>
        </w:rPr>
        <w:t xml:space="preserve">three main objectives. </w:t>
      </w:r>
      <w:r w:rsidRPr="00EC545A">
        <w:rPr>
          <w:rFonts w:ascii="Arial" w:hAnsi="Arial" w:cs="Arial"/>
        </w:rPr>
        <w:t xml:space="preserve">In the case of prosecutors, </w:t>
      </w:r>
      <w:r w:rsidR="000569FA" w:rsidRPr="00EC545A">
        <w:rPr>
          <w:rFonts w:ascii="Arial" w:hAnsi="Arial" w:cs="Arial"/>
        </w:rPr>
        <w:t>the objectives are to uphold public confidence in the administration of justice; to enhance public respect for the criminal justice system; and to protect the reputation of individual prosecutors and of the prosecution system as a whole.</w:t>
      </w:r>
    </w:p>
    <w:p w14:paraId="20B60ABD" w14:textId="717F0821" w:rsidR="006C5A5C" w:rsidRPr="00EC545A" w:rsidRDefault="00BC3B8E" w:rsidP="00BC3B8E">
      <w:pPr>
        <w:rPr>
          <w:rFonts w:ascii="Arial" w:hAnsi="Arial" w:cs="Arial"/>
        </w:rPr>
      </w:pPr>
      <w:r w:rsidRPr="00EC545A">
        <w:rPr>
          <w:rFonts w:ascii="Arial" w:hAnsi="Arial" w:cs="Arial"/>
        </w:rPr>
        <w:t xml:space="preserve">Later, I will revisit the important issue of reputation. </w:t>
      </w:r>
    </w:p>
    <w:p w14:paraId="33D7406D" w14:textId="77777777" w:rsidR="000F50EF" w:rsidRPr="00EC545A" w:rsidRDefault="000F50EF" w:rsidP="000F50EF">
      <w:pPr>
        <w:rPr>
          <w:rFonts w:ascii="Arial" w:hAnsi="Arial" w:cs="Arial"/>
          <w:b/>
        </w:rPr>
      </w:pPr>
      <w:r w:rsidRPr="00EC545A">
        <w:rPr>
          <w:rFonts w:ascii="Arial" w:hAnsi="Arial" w:cs="Arial"/>
          <w:b/>
        </w:rPr>
        <w:t>Duty to conduct the case impartially, with fairness and with detachment</w:t>
      </w:r>
    </w:p>
    <w:p w14:paraId="23BA1DFD" w14:textId="6FF33ACD" w:rsidR="000F50EF" w:rsidRPr="00EC545A" w:rsidRDefault="000F50EF" w:rsidP="000F50EF">
      <w:pPr>
        <w:rPr>
          <w:rFonts w:ascii="Arial" w:hAnsi="Arial" w:cs="Arial"/>
        </w:rPr>
      </w:pPr>
      <w:r w:rsidRPr="00EC545A">
        <w:rPr>
          <w:rFonts w:ascii="Arial" w:hAnsi="Arial" w:cs="Arial"/>
        </w:rPr>
        <w:t>A prosecutor’s fundamental duty is to act “with fairness and detachment and always with the objectives of establishing the whole truth in accordance with the procedures and standards which the law requires to be observed and of helping to ensure that the accused's trial is a fair one”.</w:t>
      </w:r>
      <w:r w:rsidRPr="00EC545A">
        <w:rPr>
          <w:rStyle w:val="FootnoteReference"/>
          <w:rFonts w:ascii="Arial" w:hAnsi="Arial" w:cs="Arial"/>
        </w:rPr>
        <w:footnoteReference w:id="22"/>
      </w:r>
      <w:r w:rsidRPr="00EC545A">
        <w:rPr>
          <w:rFonts w:ascii="Arial" w:hAnsi="Arial" w:cs="Arial"/>
        </w:rPr>
        <w:t xml:space="preserve"> </w:t>
      </w:r>
      <w:r w:rsidR="00525456" w:rsidRPr="00EC545A">
        <w:rPr>
          <w:rFonts w:ascii="Arial" w:hAnsi="Arial" w:cs="Arial"/>
        </w:rPr>
        <w:t>It flows that a</w:t>
      </w:r>
      <w:r w:rsidRPr="00EC545A">
        <w:rPr>
          <w:rFonts w:ascii="Arial" w:hAnsi="Arial" w:cs="Arial"/>
        </w:rPr>
        <w:t xml:space="preserve"> prosecutor has no interest in securing a conviction at all costs.</w:t>
      </w:r>
      <w:r w:rsidRPr="00EC545A">
        <w:rPr>
          <w:rStyle w:val="FootnoteReference"/>
          <w:rFonts w:ascii="Arial" w:hAnsi="Arial" w:cs="Arial"/>
        </w:rPr>
        <w:footnoteReference w:id="23"/>
      </w:r>
      <w:r w:rsidRPr="00EC545A">
        <w:rPr>
          <w:rFonts w:ascii="Arial" w:hAnsi="Arial" w:cs="Arial"/>
        </w:rPr>
        <w:t xml:space="preserve"> </w:t>
      </w:r>
    </w:p>
    <w:p w14:paraId="66DCFA6D" w14:textId="5BBBD9E3" w:rsidR="000A7213" w:rsidRPr="00EC545A" w:rsidRDefault="000A7213" w:rsidP="000F50EF">
      <w:pPr>
        <w:rPr>
          <w:rFonts w:ascii="Arial" w:hAnsi="Arial" w:cs="Arial"/>
        </w:rPr>
      </w:pPr>
      <w:r w:rsidRPr="00EC545A">
        <w:rPr>
          <w:rFonts w:ascii="Arial" w:hAnsi="Arial" w:cs="Arial"/>
        </w:rPr>
        <w:t>The fundamental duty to act with fairness and detachment embraces the three basic principles of impartiality, independence and integrity.</w:t>
      </w:r>
      <w:r w:rsidR="00EC545A">
        <w:rPr>
          <w:rFonts w:ascii="Arial" w:hAnsi="Arial" w:cs="Arial"/>
        </w:rPr>
        <w:t xml:space="preserve"> </w:t>
      </w:r>
      <w:r w:rsidRPr="00EC545A">
        <w:rPr>
          <w:rFonts w:ascii="Arial" w:hAnsi="Arial" w:cs="Arial"/>
        </w:rPr>
        <w:t xml:space="preserve">Most of the other duties of a prosecutor </w:t>
      </w:r>
      <w:r w:rsidR="00327DAC" w:rsidRPr="00EC545A">
        <w:rPr>
          <w:rFonts w:ascii="Arial" w:hAnsi="Arial" w:cs="Arial"/>
        </w:rPr>
        <w:t xml:space="preserve">– the duty of disclosure, the duty to call all relevant evidence, the duty to address the jury dispassionately – </w:t>
      </w:r>
      <w:r w:rsidRPr="00EC545A">
        <w:rPr>
          <w:rFonts w:ascii="Arial" w:hAnsi="Arial" w:cs="Arial"/>
        </w:rPr>
        <w:t xml:space="preserve">are just </w:t>
      </w:r>
      <w:r w:rsidR="00674CFA" w:rsidRPr="00EC545A">
        <w:rPr>
          <w:rFonts w:ascii="Arial" w:hAnsi="Arial" w:cs="Arial"/>
        </w:rPr>
        <w:t>aspects</w:t>
      </w:r>
      <w:r w:rsidRPr="00EC545A">
        <w:rPr>
          <w:rFonts w:ascii="Arial" w:hAnsi="Arial" w:cs="Arial"/>
        </w:rPr>
        <w:t xml:space="preserve"> of this fundamental duty.</w:t>
      </w:r>
    </w:p>
    <w:p w14:paraId="5F2C24FD" w14:textId="3B93F9B1" w:rsidR="00327DAC" w:rsidRPr="00EC545A" w:rsidRDefault="00327DAC" w:rsidP="000F50EF">
      <w:pPr>
        <w:rPr>
          <w:rFonts w:ascii="Arial" w:hAnsi="Arial" w:cs="Arial"/>
          <w:b/>
        </w:rPr>
      </w:pPr>
      <w:r w:rsidRPr="00EC545A">
        <w:rPr>
          <w:rFonts w:ascii="Arial" w:hAnsi="Arial" w:cs="Arial"/>
          <w:b/>
        </w:rPr>
        <w:t>But advocates like to win their cases</w:t>
      </w:r>
    </w:p>
    <w:p w14:paraId="00956F8C" w14:textId="77777777" w:rsidR="000A7213" w:rsidRPr="00EC545A" w:rsidRDefault="000A7213" w:rsidP="000A7213">
      <w:pPr>
        <w:rPr>
          <w:rFonts w:ascii="Arial" w:hAnsi="Arial" w:cs="Arial"/>
        </w:rPr>
      </w:pPr>
      <w:r w:rsidRPr="00EC545A">
        <w:rPr>
          <w:rFonts w:ascii="Arial" w:hAnsi="Arial" w:cs="Arial"/>
        </w:rPr>
        <w:t>Just as I am telling you now, you have probably told your children or been told as children:</w:t>
      </w:r>
    </w:p>
    <w:p w14:paraId="7FE4F45E" w14:textId="77777777" w:rsidR="000A7213" w:rsidRPr="00EC545A" w:rsidRDefault="000A7213" w:rsidP="000A7213">
      <w:pPr>
        <w:ind w:firstLine="720"/>
        <w:rPr>
          <w:rFonts w:ascii="Arial" w:hAnsi="Arial" w:cs="Arial"/>
          <w:sz w:val="20"/>
        </w:rPr>
      </w:pPr>
      <w:r w:rsidRPr="00EC545A">
        <w:rPr>
          <w:rFonts w:ascii="Arial" w:hAnsi="Arial" w:cs="Arial"/>
          <w:sz w:val="20"/>
          <w:shd w:val="clear" w:color="auto" w:fill="FFFFFF"/>
        </w:rPr>
        <w:t xml:space="preserve">It’s not whether you win or lose, </w:t>
      </w:r>
      <w:proofErr w:type="gramStart"/>
      <w:r w:rsidRPr="00EC545A">
        <w:rPr>
          <w:rFonts w:ascii="Arial" w:hAnsi="Arial" w:cs="Arial"/>
          <w:sz w:val="20"/>
          <w:shd w:val="clear" w:color="auto" w:fill="FFFFFF"/>
        </w:rPr>
        <w:t>it’s</w:t>
      </w:r>
      <w:proofErr w:type="gramEnd"/>
      <w:r w:rsidRPr="00EC545A">
        <w:rPr>
          <w:rFonts w:ascii="Arial" w:hAnsi="Arial" w:cs="Arial"/>
          <w:sz w:val="20"/>
          <w:shd w:val="clear" w:color="auto" w:fill="FFFFFF"/>
        </w:rPr>
        <w:t xml:space="preserve"> how you play the game.</w:t>
      </w:r>
    </w:p>
    <w:p w14:paraId="39AB6D86" w14:textId="5E2F1751" w:rsidR="000A7213" w:rsidRPr="00EC545A" w:rsidRDefault="00B64772" w:rsidP="000F50EF">
      <w:pPr>
        <w:rPr>
          <w:rFonts w:ascii="Arial" w:hAnsi="Arial" w:cs="Arial"/>
        </w:rPr>
      </w:pPr>
      <w:r>
        <w:rPr>
          <w:rFonts w:ascii="Arial" w:hAnsi="Arial" w:cs="Arial"/>
        </w:rPr>
        <w:t>But in your heart do</w:t>
      </w:r>
      <w:r w:rsidR="000A7213" w:rsidRPr="00EC545A">
        <w:rPr>
          <w:rFonts w:ascii="Arial" w:hAnsi="Arial" w:cs="Arial"/>
        </w:rPr>
        <w:t xml:space="preserve"> you believe it? Do you really expect your children to believe it?</w:t>
      </w:r>
    </w:p>
    <w:p w14:paraId="202FD782" w14:textId="35970F62" w:rsidR="000A7213" w:rsidRPr="00EC545A" w:rsidRDefault="00A9123E" w:rsidP="000F50EF">
      <w:pPr>
        <w:rPr>
          <w:rFonts w:ascii="Arial" w:hAnsi="Arial" w:cs="Arial"/>
        </w:rPr>
      </w:pPr>
      <w:r w:rsidRPr="00EC545A">
        <w:rPr>
          <w:rFonts w:ascii="Arial" w:hAnsi="Arial" w:cs="Arial"/>
        </w:rPr>
        <w:t>H</w:t>
      </w:r>
      <w:r w:rsidR="000F50EF" w:rsidRPr="00EC545A">
        <w:rPr>
          <w:rFonts w:ascii="Arial" w:hAnsi="Arial" w:cs="Arial"/>
        </w:rPr>
        <w:t>ow do you really feel when the jury returns a verdict of “not guilty”? I doubt that you rush back to the office with the good news.</w:t>
      </w:r>
      <w:r w:rsidR="00EC545A">
        <w:rPr>
          <w:rFonts w:ascii="Arial" w:hAnsi="Arial" w:cs="Arial"/>
        </w:rPr>
        <w:t xml:space="preserve"> </w:t>
      </w:r>
      <w:r w:rsidR="000F50EF" w:rsidRPr="00EC545A">
        <w:rPr>
          <w:rFonts w:ascii="Arial" w:hAnsi="Arial" w:cs="Arial"/>
        </w:rPr>
        <w:t>It is difficult to be really detached from your case, whether or not you are a prosecutor. As a prosecutor you probably feel emotionally aligned with the</w:t>
      </w:r>
      <w:r w:rsidR="00E14A5A" w:rsidRPr="00EC545A">
        <w:rPr>
          <w:rFonts w:ascii="Arial" w:hAnsi="Arial" w:cs="Arial"/>
        </w:rPr>
        <w:t xml:space="preserve"> complainant</w:t>
      </w:r>
      <w:r w:rsidRPr="00EC545A">
        <w:rPr>
          <w:rFonts w:ascii="Arial" w:hAnsi="Arial" w:cs="Arial"/>
        </w:rPr>
        <w:t>s</w:t>
      </w:r>
      <w:r w:rsidR="00E14A5A" w:rsidRPr="00EC545A">
        <w:rPr>
          <w:rFonts w:ascii="Arial" w:hAnsi="Arial" w:cs="Arial"/>
        </w:rPr>
        <w:t xml:space="preserve"> </w:t>
      </w:r>
      <w:r w:rsidR="000F50EF" w:rsidRPr="00EC545A">
        <w:rPr>
          <w:rFonts w:ascii="Arial" w:hAnsi="Arial" w:cs="Arial"/>
        </w:rPr>
        <w:t xml:space="preserve">and you want to win for their sake. </w:t>
      </w:r>
      <w:r w:rsidR="00B64772">
        <w:rPr>
          <w:rFonts w:ascii="Arial" w:hAnsi="Arial" w:cs="Arial"/>
        </w:rPr>
        <w:t xml:space="preserve">Or </w:t>
      </w:r>
      <w:r w:rsidR="00E14A5A" w:rsidRPr="00EC545A">
        <w:rPr>
          <w:rFonts w:ascii="Arial" w:hAnsi="Arial" w:cs="Arial"/>
        </w:rPr>
        <w:t>the instructing police are highly invested in the case and you want to win for their sake.</w:t>
      </w:r>
      <w:r w:rsidR="00EC545A">
        <w:rPr>
          <w:rFonts w:ascii="Arial" w:hAnsi="Arial" w:cs="Arial"/>
        </w:rPr>
        <w:t xml:space="preserve"> </w:t>
      </w:r>
      <w:r w:rsidR="000F50EF" w:rsidRPr="00EC545A">
        <w:rPr>
          <w:rFonts w:ascii="Arial" w:hAnsi="Arial" w:cs="Arial"/>
        </w:rPr>
        <w:t xml:space="preserve">More fundamentally, most good advocates are Type </w:t>
      </w:r>
      <w:proofErr w:type="gramStart"/>
      <w:r w:rsidR="000F50EF" w:rsidRPr="00EC545A">
        <w:rPr>
          <w:rFonts w:ascii="Arial" w:hAnsi="Arial" w:cs="Arial"/>
        </w:rPr>
        <w:t>A</w:t>
      </w:r>
      <w:proofErr w:type="gramEnd"/>
      <w:r w:rsidR="000F50EF" w:rsidRPr="00EC545A">
        <w:rPr>
          <w:rFonts w:ascii="Arial" w:hAnsi="Arial" w:cs="Arial"/>
        </w:rPr>
        <w:t xml:space="preserve"> personalities. We like to win; we are probably addicted to winning</w:t>
      </w:r>
      <w:r w:rsidR="000A7213" w:rsidRPr="00EC545A">
        <w:rPr>
          <w:rFonts w:ascii="Arial" w:hAnsi="Arial" w:cs="Arial"/>
        </w:rPr>
        <w:t xml:space="preserve">. </w:t>
      </w:r>
    </w:p>
    <w:p w14:paraId="7C480664" w14:textId="77777777" w:rsidR="000F50EF" w:rsidRPr="00EC545A" w:rsidRDefault="000F50EF" w:rsidP="000F50EF">
      <w:pPr>
        <w:rPr>
          <w:rFonts w:ascii="Arial" w:hAnsi="Arial" w:cs="Arial"/>
        </w:rPr>
      </w:pPr>
      <w:r w:rsidRPr="00EC545A">
        <w:rPr>
          <w:rFonts w:ascii="Arial" w:hAnsi="Arial" w:cs="Arial"/>
        </w:rPr>
        <w:t>You may be comforted to know that your prosecutorial duty and your desire to win are not necessarily incompatible. As a former NSW Senior Public Defender once said:</w:t>
      </w:r>
    </w:p>
    <w:p w14:paraId="7031715F" w14:textId="2C6CF60E" w:rsidR="000F50EF" w:rsidRPr="00EC545A" w:rsidRDefault="000F50EF" w:rsidP="000F50EF">
      <w:pPr>
        <w:ind w:firstLine="720"/>
        <w:rPr>
          <w:rFonts w:ascii="Arial" w:hAnsi="Arial" w:cs="Arial"/>
          <w:sz w:val="20"/>
        </w:rPr>
      </w:pPr>
      <w:r w:rsidRPr="00EC545A">
        <w:rPr>
          <w:rFonts w:ascii="Arial" w:hAnsi="Arial" w:cs="Arial"/>
          <w:sz w:val="20"/>
        </w:rPr>
        <w:t>There is nothing more dangerous than a reasonable Crown.</w:t>
      </w:r>
    </w:p>
    <w:p w14:paraId="3E6F7E5A" w14:textId="7F35EBA7" w:rsidR="0003034D" w:rsidRPr="00EC545A" w:rsidRDefault="00A9123E" w:rsidP="00BC3B8E">
      <w:pPr>
        <w:rPr>
          <w:rFonts w:ascii="Arial" w:hAnsi="Arial" w:cs="Arial"/>
          <w:b/>
        </w:rPr>
      </w:pPr>
      <w:r w:rsidRPr="00EC545A">
        <w:rPr>
          <w:rFonts w:ascii="Arial" w:hAnsi="Arial" w:cs="Arial"/>
          <w:b/>
        </w:rPr>
        <w:t>W</w:t>
      </w:r>
      <w:r w:rsidR="0003034D" w:rsidRPr="00EC545A">
        <w:rPr>
          <w:rFonts w:ascii="Arial" w:hAnsi="Arial" w:cs="Arial"/>
          <w:b/>
        </w:rPr>
        <w:t>hat prosecutors</w:t>
      </w:r>
      <w:r w:rsidR="00CA2A5D" w:rsidRPr="00EC545A">
        <w:rPr>
          <w:rFonts w:ascii="Arial" w:hAnsi="Arial" w:cs="Arial"/>
          <w:b/>
        </w:rPr>
        <w:t xml:space="preserve"> should </w:t>
      </w:r>
      <w:r w:rsidR="00B0738B" w:rsidRPr="00EC545A">
        <w:rPr>
          <w:rFonts w:ascii="Arial" w:hAnsi="Arial" w:cs="Arial"/>
          <w:b/>
        </w:rPr>
        <w:t xml:space="preserve">and should </w:t>
      </w:r>
      <w:r w:rsidR="00CA2A5D" w:rsidRPr="00EC545A">
        <w:rPr>
          <w:rFonts w:ascii="Arial" w:hAnsi="Arial" w:cs="Arial"/>
          <w:b/>
        </w:rPr>
        <w:t>not do</w:t>
      </w:r>
    </w:p>
    <w:p w14:paraId="391B658F" w14:textId="3AA5BB0E" w:rsidR="00A9123E" w:rsidRPr="00EC545A" w:rsidRDefault="00A9123E" w:rsidP="00BC3B8E">
      <w:pPr>
        <w:rPr>
          <w:rFonts w:ascii="Arial" w:hAnsi="Arial" w:cs="Arial"/>
        </w:rPr>
      </w:pPr>
      <w:r w:rsidRPr="00EC545A">
        <w:rPr>
          <w:rFonts w:ascii="Arial" w:hAnsi="Arial" w:cs="Arial"/>
        </w:rPr>
        <w:t xml:space="preserve">There is a wealth of case law demonstrating what </w:t>
      </w:r>
      <w:r w:rsidR="00B64772">
        <w:rPr>
          <w:rFonts w:ascii="Arial" w:hAnsi="Arial" w:cs="Arial"/>
        </w:rPr>
        <w:t xml:space="preserve">prosecutors should not </w:t>
      </w:r>
      <w:r w:rsidRPr="00EC545A">
        <w:rPr>
          <w:rFonts w:ascii="Arial" w:hAnsi="Arial" w:cs="Arial"/>
        </w:rPr>
        <w:t xml:space="preserve">do. </w:t>
      </w:r>
    </w:p>
    <w:p w14:paraId="3A562A30" w14:textId="386267C1" w:rsidR="00B70E34" w:rsidRPr="00EC545A" w:rsidRDefault="00B70E34" w:rsidP="007F6261">
      <w:pPr>
        <w:pStyle w:val="ListParagraph"/>
        <w:numPr>
          <w:ilvl w:val="0"/>
          <w:numId w:val="9"/>
        </w:numPr>
        <w:rPr>
          <w:rFonts w:ascii="Arial" w:hAnsi="Arial" w:cs="Arial"/>
        </w:rPr>
      </w:pPr>
      <w:r w:rsidRPr="00EC545A">
        <w:rPr>
          <w:rFonts w:ascii="Arial" w:hAnsi="Arial" w:cs="Arial"/>
        </w:rPr>
        <w:t>They must</w:t>
      </w:r>
      <w:r w:rsidR="00327DAC" w:rsidRPr="00EC545A">
        <w:rPr>
          <w:rFonts w:ascii="Arial" w:hAnsi="Arial" w:cs="Arial"/>
        </w:rPr>
        <w:t xml:space="preserve"> not suppress </w:t>
      </w:r>
      <w:r w:rsidRPr="00EC545A">
        <w:rPr>
          <w:rFonts w:ascii="Arial" w:hAnsi="Arial" w:cs="Arial"/>
        </w:rPr>
        <w:t>material that tends to undermine the complainant’s credit (such as CCTV film that shows her kissing the accused on the night in question, when she says that they had no contact)</w:t>
      </w:r>
      <w:r w:rsidR="00431D52" w:rsidRPr="00EC545A">
        <w:rPr>
          <w:rFonts w:ascii="Arial" w:hAnsi="Arial" w:cs="Arial"/>
        </w:rPr>
        <w:t>.</w:t>
      </w:r>
      <w:r w:rsidR="00431D52" w:rsidRPr="00EC545A">
        <w:rPr>
          <w:rStyle w:val="FootnoteReference"/>
          <w:rFonts w:ascii="Arial" w:hAnsi="Arial" w:cs="Arial"/>
        </w:rPr>
        <w:footnoteReference w:id="24"/>
      </w:r>
    </w:p>
    <w:p w14:paraId="169D5226" w14:textId="19DFB733" w:rsidR="00B70E34" w:rsidRPr="00EC545A" w:rsidRDefault="00B70E34" w:rsidP="007F6261">
      <w:pPr>
        <w:pStyle w:val="ListParagraph"/>
        <w:numPr>
          <w:ilvl w:val="0"/>
          <w:numId w:val="9"/>
        </w:numPr>
        <w:rPr>
          <w:rFonts w:ascii="Arial" w:hAnsi="Arial" w:cs="Arial"/>
        </w:rPr>
      </w:pPr>
      <w:r w:rsidRPr="00EC545A">
        <w:rPr>
          <w:rFonts w:ascii="Arial" w:hAnsi="Arial" w:cs="Arial"/>
        </w:rPr>
        <w:t>They must not sit on witness statements and exculpatory evidence received after the trial, especially where such conduct may delay an appeal.</w:t>
      </w:r>
      <w:r w:rsidR="00431D52" w:rsidRPr="00EC545A">
        <w:rPr>
          <w:rStyle w:val="FootnoteReference"/>
          <w:rFonts w:ascii="Arial" w:hAnsi="Arial" w:cs="Arial"/>
        </w:rPr>
        <w:footnoteReference w:id="25"/>
      </w:r>
    </w:p>
    <w:p w14:paraId="2A210E38" w14:textId="710B419F" w:rsidR="00B70E34" w:rsidRPr="00EC545A" w:rsidRDefault="00B70E34" w:rsidP="007F6261">
      <w:pPr>
        <w:pStyle w:val="ListParagraph"/>
        <w:numPr>
          <w:ilvl w:val="0"/>
          <w:numId w:val="9"/>
        </w:numPr>
        <w:rPr>
          <w:rFonts w:ascii="Arial" w:hAnsi="Arial" w:cs="Arial"/>
        </w:rPr>
      </w:pPr>
      <w:r w:rsidRPr="00EC545A">
        <w:rPr>
          <w:rFonts w:ascii="Arial" w:hAnsi="Arial" w:cs="Arial"/>
        </w:rPr>
        <w:t>They should not publicly criticise an appeal court that has ordered a retrial</w:t>
      </w:r>
      <w:r w:rsidR="00CA2A5D" w:rsidRPr="00EC545A">
        <w:rPr>
          <w:rFonts w:ascii="Arial" w:hAnsi="Arial" w:cs="Arial"/>
        </w:rPr>
        <w:t xml:space="preserve">, saying </w:t>
      </w:r>
      <w:r w:rsidRPr="00EC545A">
        <w:rPr>
          <w:rFonts w:ascii="Arial" w:hAnsi="Arial" w:cs="Arial"/>
        </w:rPr>
        <w:t>that the decision turned on a very minor matter that was “most unlikely to have made any difference to the verdict of the jury” – in effect, suggesting that the appellant was guilty.</w:t>
      </w:r>
      <w:r w:rsidR="00A85197" w:rsidRPr="00EC545A">
        <w:rPr>
          <w:rStyle w:val="FootnoteReference"/>
          <w:rFonts w:ascii="Arial" w:hAnsi="Arial" w:cs="Arial"/>
        </w:rPr>
        <w:footnoteReference w:id="26"/>
      </w:r>
    </w:p>
    <w:p w14:paraId="13EF1E6A" w14:textId="1520629B" w:rsidR="005D5B02" w:rsidRPr="00EC545A" w:rsidRDefault="0003034D" w:rsidP="007F6261">
      <w:pPr>
        <w:pStyle w:val="ListParagraph"/>
        <w:numPr>
          <w:ilvl w:val="0"/>
          <w:numId w:val="9"/>
        </w:numPr>
        <w:rPr>
          <w:rFonts w:ascii="Arial" w:hAnsi="Arial" w:cs="Arial"/>
        </w:rPr>
      </w:pPr>
      <w:r w:rsidRPr="00EC545A">
        <w:rPr>
          <w:rFonts w:ascii="Arial" w:hAnsi="Arial" w:cs="Arial"/>
        </w:rPr>
        <w:t xml:space="preserve">They must not </w:t>
      </w:r>
      <w:r w:rsidR="004816E7" w:rsidRPr="00EC545A">
        <w:rPr>
          <w:rFonts w:ascii="Arial" w:hAnsi="Arial" w:cs="Arial"/>
        </w:rPr>
        <w:t xml:space="preserve">inject their personal opinion into </w:t>
      </w:r>
      <w:r w:rsidR="00CA2A5D" w:rsidRPr="00EC545A">
        <w:rPr>
          <w:rFonts w:ascii="Arial" w:hAnsi="Arial" w:cs="Arial"/>
        </w:rPr>
        <w:t xml:space="preserve">submissions, e.g. by telling </w:t>
      </w:r>
      <w:r w:rsidR="00B64772">
        <w:rPr>
          <w:rFonts w:ascii="Arial" w:hAnsi="Arial" w:cs="Arial"/>
        </w:rPr>
        <w:t>the jury that one of the prosecution</w:t>
      </w:r>
      <w:r w:rsidR="004816E7" w:rsidRPr="00EC545A">
        <w:rPr>
          <w:rFonts w:ascii="Arial" w:hAnsi="Arial" w:cs="Arial"/>
        </w:rPr>
        <w:t xml:space="preserve"> witnesses is </w:t>
      </w:r>
      <w:r w:rsidRPr="00EC545A">
        <w:rPr>
          <w:rFonts w:ascii="Arial" w:hAnsi="Arial" w:cs="Arial"/>
        </w:rPr>
        <w:t>an “idiot”</w:t>
      </w:r>
      <w:r w:rsidR="004816E7" w:rsidRPr="00EC545A">
        <w:rPr>
          <w:rFonts w:ascii="Arial" w:hAnsi="Arial" w:cs="Arial"/>
        </w:rPr>
        <w:t xml:space="preserve"> (</w:t>
      </w:r>
      <w:r w:rsidR="00CA2A5D" w:rsidRPr="00EC545A">
        <w:rPr>
          <w:rFonts w:ascii="Arial" w:hAnsi="Arial" w:cs="Arial"/>
        </w:rPr>
        <w:t xml:space="preserve">coincidently, a witness whose </w:t>
      </w:r>
      <w:r w:rsidR="004816E7" w:rsidRPr="00EC545A">
        <w:rPr>
          <w:rFonts w:ascii="Arial" w:hAnsi="Arial" w:cs="Arial"/>
        </w:rPr>
        <w:t>evidence supported the defence case theory) or that (as</w:t>
      </w:r>
      <w:r w:rsidR="00B70E34" w:rsidRPr="00EC545A">
        <w:rPr>
          <w:rFonts w:ascii="Arial" w:hAnsi="Arial" w:cs="Arial"/>
        </w:rPr>
        <w:t xml:space="preserve"> proven by </w:t>
      </w:r>
      <w:r w:rsidR="004816E7" w:rsidRPr="00EC545A">
        <w:rPr>
          <w:rFonts w:ascii="Arial" w:hAnsi="Arial" w:cs="Arial"/>
        </w:rPr>
        <w:t>many movies</w:t>
      </w:r>
      <w:r w:rsidR="00B70E34" w:rsidRPr="00EC545A">
        <w:rPr>
          <w:rFonts w:ascii="Arial" w:hAnsi="Arial" w:cs="Arial"/>
        </w:rPr>
        <w:t xml:space="preserve"> that they have seen</w:t>
      </w:r>
      <w:r w:rsidR="004816E7" w:rsidRPr="00EC545A">
        <w:rPr>
          <w:rFonts w:ascii="Arial" w:hAnsi="Arial" w:cs="Arial"/>
        </w:rPr>
        <w:t xml:space="preserve">) </w:t>
      </w:r>
      <w:r w:rsidR="00CA2A5D" w:rsidRPr="00EC545A">
        <w:rPr>
          <w:rFonts w:ascii="Arial" w:hAnsi="Arial" w:cs="Arial"/>
        </w:rPr>
        <w:t xml:space="preserve">after being raped </w:t>
      </w:r>
      <w:r w:rsidR="004816E7" w:rsidRPr="00EC545A">
        <w:rPr>
          <w:rFonts w:ascii="Arial" w:hAnsi="Arial" w:cs="Arial"/>
        </w:rPr>
        <w:t>women will invariably bathe because they feel “dirty”</w:t>
      </w:r>
      <w:r w:rsidR="005D5B02" w:rsidRPr="00EC545A">
        <w:rPr>
          <w:rFonts w:ascii="Arial" w:hAnsi="Arial" w:cs="Arial"/>
        </w:rPr>
        <w:t>.</w:t>
      </w:r>
      <w:r w:rsidR="007274F0" w:rsidRPr="00EC545A">
        <w:rPr>
          <w:rStyle w:val="FootnoteReference"/>
          <w:rFonts w:ascii="Arial" w:hAnsi="Arial" w:cs="Arial"/>
        </w:rPr>
        <w:footnoteReference w:id="27"/>
      </w:r>
      <w:r w:rsidR="005D5B02" w:rsidRPr="00EC545A">
        <w:rPr>
          <w:rFonts w:ascii="Arial" w:hAnsi="Arial" w:cs="Arial"/>
        </w:rPr>
        <w:t xml:space="preserve"> </w:t>
      </w:r>
    </w:p>
    <w:p w14:paraId="32828DE8" w14:textId="4795E6E5" w:rsidR="0003034D" w:rsidRPr="00EC545A" w:rsidRDefault="005D5B02" w:rsidP="007F6261">
      <w:pPr>
        <w:pStyle w:val="ListParagraph"/>
        <w:numPr>
          <w:ilvl w:val="0"/>
          <w:numId w:val="9"/>
        </w:numPr>
        <w:rPr>
          <w:rFonts w:ascii="Arial" w:hAnsi="Arial" w:cs="Arial"/>
        </w:rPr>
      </w:pPr>
      <w:r w:rsidRPr="00EC545A">
        <w:rPr>
          <w:rFonts w:ascii="Arial" w:hAnsi="Arial" w:cs="Arial"/>
        </w:rPr>
        <w:t>They should not ridicule the defence case,</w:t>
      </w:r>
      <w:r w:rsidR="00CA2A5D" w:rsidRPr="00EC545A">
        <w:rPr>
          <w:rFonts w:ascii="Arial" w:hAnsi="Arial" w:cs="Arial"/>
        </w:rPr>
        <w:t xml:space="preserve"> telling the jury that it is </w:t>
      </w:r>
      <w:r w:rsidRPr="00EC545A">
        <w:rPr>
          <w:rFonts w:ascii="Arial" w:hAnsi="Arial" w:cs="Arial"/>
        </w:rPr>
        <w:t>“bizarre” or reminiscent of a plot worse than Desperate Housewives, nor should they describe the evidence given by the accused as “pathetic”</w:t>
      </w:r>
      <w:r w:rsidR="004816E7" w:rsidRPr="00EC545A">
        <w:rPr>
          <w:rFonts w:ascii="Arial" w:hAnsi="Arial" w:cs="Arial"/>
        </w:rPr>
        <w:t>.</w:t>
      </w:r>
      <w:r w:rsidR="007274F0" w:rsidRPr="00EC545A">
        <w:rPr>
          <w:rStyle w:val="FootnoteReference"/>
          <w:rFonts w:ascii="Arial" w:hAnsi="Arial" w:cs="Arial"/>
        </w:rPr>
        <w:footnoteReference w:id="28"/>
      </w:r>
    </w:p>
    <w:p w14:paraId="23EDE287" w14:textId="6630F156" w:rsidR="0003034D" w:rsidRPr="00EC545A" w:rsidRDefault="007E028D" w:rsidP="007F6261">
      <w:pPr>
        <w:pStyle w:val="ListParagraph"/>
        <w:numPr>
          <w:ilvl w:val="0"/>
          <w:numId w:val="9"/>
        </w:numPr>
        <w:rPr>
          <w:rFonts w:ascii="Arial" w:hAnsi="Arial" w:cs="Arial"/>
        </w:rPr>
      </w:pPr>
      <w:r w:rsidRPr="00EC545A">
        <w:rPr>
          <w:rFonts w:ascii="Arial" w:hAnsi="Arial" w:cs="Arial"/>
        </w:rPr>
        <w:t>They</w:t>
      </w:r>
      <w:r w:rsidR="00716749" w:rsidRPr="00EC545A">
        <w:rPr>
          <w:rFonts w:ascii="Arial" w:hAnsi="Arial" w:cs="Arial"/>
        </w:rPr>
        <w:t xml:space="preserve"> should </w:t>
      </w:r>
      <w:r w:rsidRPr="00EC545A">
        <w:rPr>
          <w:rFonts w:ascii="Arial" w:hAnsi="Arial" w:cs="Arial"/>
        </w:rPr>
        <w:t>not</w:t>
      </w:r>
      <w:r w:rsidR="004816E7" w:rsidRPr="00EC545A">
        <w:rPr>
          <w:rFonts w:ascii="Arial" w:hAnsi="Arial" w:cs="Arial"/>
        </w:rPr>
        <w:t xml:space="preserve"> make media comments commending the excellent </w:t>
      </w:r>
      <w:r w:rsidRPr="00EC545A">
        <w:rPr>
          <w:rFonts w:ascii="Arial" w:hAnsi="Arial" w:cs="Arial"/>
        </w:rPr>
        <w:t>police inve</w:t>
      </w:r>
      <w:r w:rsidR="00CA2A5D" w:rsidRPr="00EC545A">
        <w:rPr>
          <w:rFonts w:ascii="Arial" w:hAnsi="Arial" w:cs="Arial"/>
        </w:rPr>
        <w:t>stigation and</w:t>
      </w:r>
      <w:r w:rsidRPr="00EC545A">
        <w:rPr>
          <w:rFonts w:ascii="Arial" w:hAnsi="Arial" w:cs="Arial"/>
        </w:rPr>
        <w:t xml:space="preserve"> the fortitude of the victim in the trial that they have just prosecuted.</w:t>
      </w:r>
      <w:r w:rsidR="00A85197" w:rsidRPr="00EC545A">
        <w:rPr>
          <w:rStyle w:val="FootnoteReference"/>
          <w:rFonts w:ascii="Arial" w:hAnsi="Arial" w:cs="Arial"/>
        </w:rPr>
        <w:footnoteReference w:id="29"/>
      </w:r>
    </w:p>
    <w:p w14:paraId="4C6C4C87" w14:textId="78933D69" w:rsidR="007E028D" w:rsidRPr="00EC545A" w:rsidRDefault="007E028D" w:rsidP="007F6261">
      <w:pPr>
        <w:pStyle w:val="ListParagraph"/>
        <w:numPr>
          <w:ilvl w:val="0"/>
          <w:numId w:val="9"/>
        </w:numPr>
        <w:rPr>
          <w:rFonts w:ascii="Arial" w:hAnsi="Arial" w:cs="Arial"/>
        </w:rPr>
      </w:pPr>
      <w:r w:rsidRPr="00EC545A">
        <w:rPr>
          <w:rFonts w:ascii="Arial" w:hAnsi="Arial" w:cs="Arial"/>
        </w:rPr>
        <w:t>They must not publicly advocate for “innocent” victims, suggesting that the criminal justice system</w:t>
      </w:r>
      <w:r w:rsidR="00B70E34" w:rsidRPr="00EC545A">
        <w:rPr>
          <w:rFonts w:ascii="Arial" w:hAnsi="Arial" w:cs="Arial"/>
        </w:rPr>
        <w:t xml:space="preserve"> unduly favours </w:t>
      </w:r>
      <w:r w:rsidRPr="00EC545A">
        <w:rPr>
          <w:rFonts w:ascii="Arial" w:hAnsi="Arial" w:cs="Arial"/>
        </w:rPr>
        <w:t xml:space="preserve">accused persons who, after all, are </w:t>
      </w:r>
      <w:r w:rsidR="00716749" w:rsidRPr="00EC545A">
        <w:rPr>
          <w:rFonts w:ascii="Arial" w:hAnsi="Arial" w:cs="Arial"/>
        </w:rPr>
        <w:t>“</w:t>
      </w:r>
      <w:r w:rsidRPr="00EC545A">
        <w:rPr>
          <w:rFonts w:ascii="Arial" w:hAnsi="Arial" w:cs="Arial"/>
        </w:rPr>
        <w:t xml:space="preserve">merely </w:t>
      </w:r>
      <w:r w:rsidRPr="00EC545A">
        <w:rPr>
          <w:rFonts w:ascii="Arial" w:hAnsi="Arial" w:cs="Arial"/>
          <w:i/>
        </w:rPr>
        <w:t>presumed</w:t>
      </w:r>
      <w:r w:rsidRPr="00EC545A">
        <w:rPr>
          <w:rFonts w:ascii="Arial" w:hAnsi="Arial" w:cs="Arial"/>
        </w:rPr>
        <w:t xml:space="preserve"> innocent</w:t>
      </w:r>
      <w:r w:rsidR="00716749" w:rsidRPr="00EC545A">
        <w:rPr>
          <w:rFonts w:ascii="Arial" w:hAnsi="Arial" w:cs="Arial"/>
        </w:rPr>
        <w:t>”</w:t>
      </w:r>
      <w:r w:rsidRPr="00EC545A">
        <w:rPr>
          <w:rFonts w:ascii="Arial" w:hAnsi="Arial" w:cs="Arial"/>
        </w:rPr>
        <w:t>.</w:t>
      </w:r>
      <w:r w:rsidR="00CA2A5D" w:rsidRPr="00EC545A">
        <w:rPr>
          <w:rFonts w:ascii="Arial" w:hAnsi="Arial" w:cs="Arial"/>
        </w:rPr>
        <w:t xml:space="preserve"> Nor should they </w:t>
      </w:r>
      <w:r w:rsidR="00716749" w:rsidRPr="00EC545A">
        <w:rPr>
          <w:rFonts w:ascii="Arial" w:hAnsi="Arial" w:cs="Arial"/>
        </w:rPr>
        <w:t>suggest that “every time a guilty person is acquitted the law, in a sense, has failed to community”.</w:t>
      </w:r>
      <w:r w:rsidR="007274F0" w:rsidRPr="00EC545A">
        <w:rPr>
          <w:rStyle w:val="FootnoteReference"/>
          <w:rFonts w:ascii="Arial" w:hAnsi="Arial" w:cs="Arial"/>
        </w:rPr>
        <w:footnoteReference w:id="30"/>
      </w:r>
    </w:p>
    <w:p w14:paraId="508FC5A6" w14:textId="668F7B04" w:rsidR="005D5B02" w:rsidRPr="00EC545A" w:rsidRDefault="00E765CB" w:rsidP="007F6261">
      <w:pPr>
        <w:pStyle w:val="ListParagraph"/>
        <w:numPr>
          <w:ilvl w:val="0"/>
          <w:numId w:val="9"/>
        </w:numPr>
        <w:rPr>
          <w:rFonts w:ascii="Arial" w:hAnsi="Arial" w:cs="Arial"/>
        </w:rPr>
      </w:pPr>
      <w:r w:rsidRPr="00EC545A">
        <w:rPr>
          <w:rFonts w:ascii="Arial" w:hAnsi="Arial" w:cs="Arial"/>
        </w:rPr>
        <w:t>They should avoid</w:t>
      </w:r>
      <w:r w:rsidR="000A7213" w:rsidRPr="00EC545A">
        <w:rPr>
          <w:rFonts w:ascii="Arial" w:hAnsi="Arial" w:cs="Arial"/>
        </w:rPr>
        <w:t xml:space="preserve"> </w:t>
      </w:r>
      <w:r w:rsidRPr="00EC545A">
        <w:rPr>
          <w:rFonts w:ascii="Arial" w:hAnsi="Arial" w:cs="Arial"/>
        </w:rPr>
        <w:t>intimate relationships with defence counsel against whom they are appearing (unless this is disclosed to the accused and the accused doesn’t mind,</w:t>
      </w:r>
      <w:r w:rsidR="005D5B02" w:rsidRPr="00EC545A">
        <w:rPr>
          <w:rFonts w:ascii="Arial" w:hAnsi="Arial" w:cs="Arial"/>
        </w:rPr>
        <w:t xml:space="preserve"> even after he has been</w:t>
      </w:r>
      <w:r w:rsidRPr="00EC545A">
        <w:rPr>
          <w:rFonts w:ascii="Arial" w:hAnsi="Arial" w:cs="Arial"/>
        </w:rPr>
        <w:t xml:space="preserve"> convicted)</w:t>
      </w:r>
      <w:r w:rsidR="005D5B02" w:rsidRPr="00EC545A">
        <w:rPr>
          <w:rFonts w:ascii="Arial" w:hAnsi="Arial" w:cs="Arial"/>
        </w:rPr>
        <w:t>.</w:t>
      </w:r>
      <w:r w:rsidR="007274F0" w:rsidRPr="00EC545A">
        <w:rPr>
          <w:rStyle w:val="FootnoteReference"/>
          <w:rFonts w:ascii="Arial" w:hAnsi="Arial" w:cs="Arial"/>
        </w:rPr>
        <w:footnoteReference w:id="31"/>
      </w:r>
    </w:p>
    <w:p w14:paraId="7EF6BAA1" w14:textId="08C089D2" w:rsidR="00CA2A5D" w:rsidRPr="00EC545A" w:rsidRDefault="00A9123E" w:rsidP="00071155">
      <w:pPr>
        <w:rPr>
          <w:rFonts w:ascii="Arial" w:hAnsi="Arial" w:cs="Arial"/>
        </w:rPr>
      </w:pPr>
      <w:r w:rsidRPr="00EC545A">
        <w:rPr>
          <w:rFonts w:ascii="Arial" w:hAnsi="Arial" w:cs="Arial"/>
        </w:rPr>
        <w:t>These matters may be obvious to you. However, the reality is that m</w:t>
      </w:r>
      <w:r w:rsidR="007F6261" w:rsidRPr="00EC545A">
        <w:rPr>
          <w:rFonts w:ascii="Arial" w:hAnsi="Arial" w:cs="Arial"/>
        </w:rPr>
        <w:t>ost of these things have happened in</w:t>
      </w:r>
      <w:r w:rsidR="00B64772">
        <w:rPr>
          <w:rFonts w:ascii="Arial" w:hAnsi="Arial" w:cs="Arial"/>
        </w:rPr>
        <w:t xml:space="preserve"> Australia, relatively recently.  And </w:t>
      </w:r>
      <w:r w:rsidR="007F6261" w:rsidRPr="00EC545A">
        <w:rPr>
          <w:rFonts w:ascii="Arial" w:hAnsi="Arial" w:cs="Arial"/>
        </w:rPr>
        <w:t>most of them were not the product of inexperience.</w:t>
      </w:r>
      <w:r w:rsidR="00A7580C" w:rsidRPr="00EC545A">
        <w:rPr>
          <w:rFonts w:ascii="Arial" w:hAnsi="Arial" w:cs="Arial"/>
        </w:rPr>
        <w:t xml:space="preserve"> </w:t>
      </w:r>
    </w:p>
    <w:p w14:paraId="1F8D7325" w14:textId="145A657C" w:rsidR="00327DAC" w:rsidRPr="00EC545A" w:rsidRDefault="00CA2A5D" w:rsidP="00071155">
      <w:pPr>
        <w:rPr>
          <w:rFonts w:ascii="Arial" w:hAnsi="Arial" w:cs="Arial"/>
        </w:rPr>
      </w:pPr>
      <w:r w:rsidRPr="00EC545A">
        <w:rPr>
          <w:rFonts w:ascii="Arial" w:hAnsi="Arial" w:cs="Arial"/>
        </w:rPr>
        <w:t xml:space="preserve">Yet </w:t>
      </w:r>
      <w:r w:rsidR="00FD74F9" w:rsidRPr="00EC545A">
        <w:rPr>
          <w:rFonts w:ascii="Arial" w:hAnsi="Arial" w:cs="Arial"/>
        </w:rPr>
        <w:t>every day around Australia hundreds of prosecutors do the right thing.</w:t>
      </w:r>
    </w:p>
    <w:p w14:paraId="7D9A7CA4" w14:textId="1AC5BC71" w:rsidR="00A7580C" w:rsidRPr="00EC545A" w:rsidRDefault="00A7580C" w:rsidP="00071155">
      <w:pPr>
        <w:rPr>
          <w:rFonts w:ascii="Arial" w:hAnsi="Arial" w:cs="Arial"/>
        </w:rPr>
      </w:pPr>
      <w:r w:rsidRPr="00EC545A">
        <w:rPr>
          <w:rFonts w:ascii="Arial" w:hAnsi="Arial" w:cs="Arial"/>
        </w:rPr>
        <w:t xml:space="preserve">An outstanding example is the </w:t>
      </w:r>
      <w:r w:rsidR="00951BCD" w:rsidRPr="00EC545A">
        <w:rPr>
          <w:rFonts w:ascii="Arial" w:hAnsi="Arial" w:cs="Arial"/>
        </w:rPr>
        <w:t xml:space="preserve">case of </w:t>
      </w:r>
      <w:r w:rsidR="00071155" w:rsidRPr="00EC545A">
        <w:rPr>
          <w:rFonts w:ascii="Arial" w:hAnsi="Arial" w:cs="Arial"/>
        </w:rPr>
        <w:t xml:space="preserve">Lawyer </w:t>
      </w:r>
      <w:r w:rsidR="00951BCD" w:rsidRPr="00EC545A">
        <w:rPr>
          <w:rFonts w:ascii="Arial" w:hAnsi="Arial" w:cs="Arial"/>
        </w:rPr>
        <w:t>X</w:t>
      </w:r>
      <w:r w:rsidRPr="00EC545A">
        <w:rPr>
          <w:rFonts w:ascii="Arial" w:hAnsi="Arial" w:cs="Arial"/>
        </w:rPr>
        <w:t xml:space="preserve">. </w:t>
      </w:r>
      <w:r w:rsidR="003477BD" w:rsidRPr="00EC545A">
        <w:rPr>
          <w:rFonts w:ascii="Arial" w:hAnsi="Arial" w:cs="Arial"/>
        </w:rPr>
        <w:t xml:space="preserve">Victoria Police </w:t>
      </w:r>
      <w:r w:rsidRPr="00EC545A">
        <w:rPr>
          <w:rFonts w:ascii="Arial" w:hAnsi="Arial" w:cs="Arial"/>
        </w:rPr>
        <w:t xml:space="preserve">had used </w:t>
      </w:r>
      <w:r w:rsidR="004C34CF" w:rsidRPr="00EC545A">
        <w:rPr>
          <w:rFonts w:ascii="Arial" w:hAnsi="Arial" w:cs="Arial"/>
        </w:rPr>
        <w:t>practis</w:t>
      </w:r>
      <w:r w:rsidR="003477BD" w:rsidRPr="00EC545A">
        <w:rPr>
          <w:rFonts w:ascii="Arial" w:hAnsi="Arial" w:cs="Arial"/>
        </w:rPr>
        <w:t xml:space="preserve">ing barrister Nicola </w:t>
      </w:r>
      <w:proofErr w:type="spellStart"/>
      <w:r w:rsidR="003477BD" w:rsidRPr="00EC545A">
        <w:rPr>
          <w:rFonts w:ascii="Arial" w:hAnsi="Arial" w:cs="Arial"/>
        </w:rPr>
        <w:t>Gobbo</w:t>
      </w:r>
      <w:proofErr w:type="spellEnd"/>
      <w:r w:rsidR="003477BD" w:rsidRPr="00EC545A">
        <w:rPr>
          <w:rFonts w:ascii="Arial" w:hAnsi="Arial" w:cs="Arial"/>
        </w:rPr>
        <w:t xml:space="preserve"> as an informant</w:t>
      </w:r>
      <w:r w:rsidRPr="00EC545A">
        <w:rPr>
          <w:rFonts w:ascii="Arial" w:hAnsi="Arial" w:cs="Arial"/>
        </w:rPr>
        <w:t xml:space="preserve"> against her own clients, while</w:t>
      </w:r>
      <w:r w:rsidR="003477BD" w:rsidRPr="00EC545A">
        <w:rPr>
          <w:rFonts w:ascii="Arial" w:hAnsi="Arial" w:cs="Arial"/>
        </w:rPr>
        <w:t xml:space="preserve"> she was representing them</w:t>
      </w:r>
      <w:r w:rsidR="00071155" w:rsidRPr="00EC545A">
        <w:rPr>
          <w:rFonts w:ascii="Arial" w:hAnsi="Arial" w:cs="Arial"/>
        </w:rPr>
        <w:t>.</w:t>
      </w:r>
      <w:r w:rsidR="00951BCD" w:rsidRPr="00EC545A">
        <w:rPr>
          <w:rFonts w:ascii="Arial" w:hAnsi="Arial" w:cs="Arial"/>
        </w:rPr>
        <w:t xml:space="preserve"> </w:t>
      </w:r>
      <w:r w:rsidR="003477BD" w:rsidRPr="00EC545A">
        <w:rPr>
          <w:rFonts w:ascii="Arial" w:hAnsi="Arial" w:cs="Arial"/>
        </w:rPr>
        <w:t>This caused a miscarriage of justice</w:t>
      </w:r>
      <w:r w:rsidRPr="00EC545A">
        <w:rPr>
          <w:rFonts w:ascii="Arial" w:hAnsi="Arial" w:cs="Arial"/>
        </w:rPr>
        <w:t xml:space="preserve"> that tainted possibly hundreds of convictions. L</w:t>
      </w:r>
      <w:r w:rsidR="003477BD" w:rsidRPr="00EC545A">
        <w:rPr>
          <w:rFonts w:ascii="Arial" w:hAnsi="Arial" w:cs="Arial"/>
        </w:rPr>
        <w:t>ast Friday, the first</w:t>
      </w:r>
      <w:r w:rsidRPr="00EC545A">
        <w:rPr>
          <w:rFonts w:ascii="Arial" w:hAnsi="Arial" w:cs="Arial"/>
        </w:rPr>
        <w:t xml:space="preserve"> tainted conviction was quashed, that of </w:t>
      </w:r>
      <w:proofErr w:type="spellStart"/>
      <w:r w:rsidRPr="00EC545A">
        <w:rPr>
          <w:rFonts w:ascii="Arial" w:hAnsi="Arial" w:cs="Arial"/>
        </w:rPr>
        <w:t>Faruk</w:t>
      </w:r>
      <w:proofErr w:type="spellEnd"/>
      <w:r w:rsidRPr="00EC545A">
        <w:rPr>
          <w:rFonts w:ascii="Arial" w:hAnsi="Arial" w:cs="Arial"/>
        </w:rPr>
        <w:t xml:space="preserve"> </w:t>
      </w:r>
      <w:proofErr w:type="spellStart"/>
      <w:r w:rsidRPr="00EC545A">
        <w:rPr>
          <w:rFonts w:ascii="Arial" w:hAnsi="Arial" w:cs="Arial"/>
        </w:rPr>
        <w:t>Orman</w:t>
      </w:r>
      <w:proofErr w:type="spellEnd"/>
      <w:r w:rsidR="003477BD" w:rsidRPr="00EC545A">
        <w:rPr>
          <w:rFonts w:ascii="Arial" w:hAnsi="Arial" w:cs="Arial"/>
        </w:rPr>
        <w:t>.</w:t>
      </w:r>
      <w:r w:rsidR="003477BD" w:rsidRPr="00EC545A">
        <w:rPr>
          <w:rStyle w:val="FootnoteReference"/>
          <w:rFonts w:ascii="Arial" w:hAnsi="Arial" w:cs="Arial"/>
        </w:rPr>
        <w:footnoteReference w:id="32"/>
      </w:r>
      <w:r w:rsidR="003477BD" w:rsidRPr="00EC545A">
        <w:rPr>
          <w:rFonts w:ascii="Arial" w:hAnsi="Arial" w:cs="Arial"/>
        </w:rPr>
        <w:t xml:space="preserve"> </w:t>
      </w:r>
    </w:p>
    <w:p w14:paraId="3A277C58" w14:textId="4FDD5B24" w:rsidR="000310FD" w:rsidRPr="00EC545A" w:rsidRDefault="00951BCD" w:rsidP="00071155">
      <w:pPr>
        <w:rPr>
          <w:rFonts w:ascii="Arial" w:hAnsi="Arial" w:cs="Arial"/>
        </w:rPr>
      </w:pPr>
      <w:r w:rsidRPr="00EC545A">
        <w:rPr>
          <w:rFonts w:ascii="Arial" w:hAnsi="Arial" w:cs="Arial"/>
        </w:rPr>
        <w:t xml:space="preserve">The </w:t>
      </w:r>
      <w:r w:rsidR="00A7580C" w:rsidRPr="00EC545A">
        <w:rPr>
          <w:rFonts w:ascii="Arial" w:hAnsi="Arial" w:cs="Arial"/>
        </w:rPr>
        <w:t xml:space="preserve">Lawyer X </w:t>
      </w:r>
      <w:r w:rsidR="00171EA3" w:rsidRPr="00EC545A">
        <w:rPr>
          <w:rFonts w:ascii="Arial" w:hAnsi="Arial" w:cs="Arial"/>
        </w:rPr>
        <w:t xml:space="preserve">scandal came </w:t>
      </w:r>
      <w:r w:rsidR="00BD4DBD" w:rsidRPr="00EC545A">
        <w:rPr>
          <w:rFonts w:ascii="Arial" w:hAnsi="Arial" w:cs="Arial"/>
        </w:rPr>
        <w:t>to light</w:t>
      </w:r>
      <w:r w:rsidRPr="00EC545A">
        <w:rPr>
          <w:rFonts w:ascii="Arial" w:hAnsi="Arial" w:cs="Arial"/>
        </w:rPr>
        <w:t xml:space="preserve"> when </w:t>
      </w:r>
      <w:r w:rsidR="00BD4DBD" w:rsidRPr="00EC545A">
        <w:rPr>
          <w:rFonts w:ascii="Arial" w:hAnsi="Arial" w:cs="Arial"/>
        </w:rPr>
        <w:t>the Victorian D</w:t>
      </w:r>
      <w:r w:rsidR="00EE359B" w:rsidRPr="00EC545A">
        <w:rPr>
          <w:rFonts w:ascii="Arial" w:hAnsi="Arial" w:cs="Arial"/>
        </w:rPr>
        <w:t>irector for Public Prosecutions</w:t>
      </w:r>
      <w:r w:rsidRPr="00EC545A">
        <w:rPr>
          <w:rFonts w:ascii="Arial" w:hAnsi="Arial" w:cs="Arial"/>
        </w:rPr>
        <w:t xml:space="preserve"> decided </w:t>
      </w:r>
      <w:r w:rsidR="00BD4DBD" w:rsidRPr="00EC545A">
        <w:rPr>
          <w:rFonts w:ascii="Arial" w:hAnsi="Arial" w:cs="Arial"/>
        </w:rPr>
        <w:t>to disclos</w:t>
      </w:r>
      <w:r w:rsidR="005B0668" w:rsidRPr="00EC545A">
        <w:rPr>
          <w:rFonts w:ascii="Arial" w:hAnsi="Arial" w:cs="Arial"/>
        </w:rPr>
        <w:t>e to several convicted persons the fact that Victoria Police</w:t>
      </w:r>
      <w:r w:rsidR="00A7580C" w:rsidRPr="00EC545A">
        <w:rPr>
          <w:rFonts w:ascii="Arial" w:hAnsi="Arial" w:cs="Arial"/>
        </w:rPr>
        <w:t xml:space="preserve"> had used </w:t>
      </w:r>
      <w:r w:rsidR="005B0668" w:rsidRPr="00EC545A">
        <w:rPr>
          <w:rFonts w:ascii="Arial" w:hAnsi="Arial" w:cs="Arial"/>
        </w:rPr>
        <w:t>their counsel</w:t>
      </w:r>
      <w:r w:rsidR="00E72F7D">
        <w:rPr>
          <w:rFonts w:ascii="Arial" w:hAnsi="Arial" w:cs="Arial"/>
        </w:rPr>
        <w:t xml:space="preserve">, Ms </w:t>
      </w:r>
      <w:proofErr w:type="spellStart"/>
      <w:r w:rsidR="00E72F7D">
        <w:rPr>
          <w:rFonts w:ascii="Arial" w:hAnsi="Arial" w:cs="Arial"/>
        </w:rPr>
        <w:t>Gobbo</w:t>
      </w:r>
      <w:proofErr w:type="spellEnd"/>
      <w:r w:rsidR="00E72F7D">
        <w:rPr>
          <w:rFonts w:ascii="Arial" w:hAnsi="Arial" w:cs="Arial"/>
        </w:rPr>
        <w:t>,</w:t>
      </w:r>
      <w:r w:rsidR="005B0668" w:rsidRPr="00EC545A">
        <w:rPr>
          <w:rFonts w:ascii="Arial" w:hAnsi="Arial" w:cs="Arial"/>
        </w:rPr>
        <w:t xml:space="preserve"> as an informer against them. </w:t>
      </w:r>
      <w:r w:rsidR="00EE359B" w:rsidRPr="00EC545A">
        <w:rPr>
          <w:rFonts w:ascii="Arial" w:hAnsi="Arial" w:cs="Arial"/>
        </w:rPr>
        <w:t xml:space="preserve">When </w:t>
      </w:r>
      <w:r w:rsidR="00E72F7D">
        <w:rPr>
          <w:rFonts w:ascii="Arial" w:hAnsi="Arial" w:cs="Arial"/>
        </w:rPr>
        <w:t xml:space="preserve">the decision to disclose was </w:t>
      </w:r>
      <w:r w:rsidR="00EE359B" w:rsidRPr="00EC545A">
        <w:rPr>
          <w:rFonts w:ascii="Arial" w:hAnsi="Arial" w:cs="Arial"/>
        </w:rPr>
        <w:t xml:space="preserve">challenged by Victoria Police and Ms </w:t>
      </w:r>
      <w:proofErr w:type="spellStart"/>
      <w:r w:rsidR="00EE359B" w:rsidRPr="00EC545A">
        <w:rPr>
          <w:rFonts w:ascii="Arial" w:hAnsi="Arial" w:cs="Arial"/>
        </w:rPr>
        <w:t>Gobbo</w:t>
      </w:r>
      <w:proofErr w:type="spellEnd"/>
      <w:r w:rsidR="00EE359B" w:rsidRPr="00EC545A">
        <w:rPr>
          <w:rFonts w:ascii="Arial" w:hAnsi="Arial" w:cs="Arial"/>
        </w:rPr>
        <w:t xml:space="preserve"> in court, t</w:t>
      </w:r>
      <w:r w:rsidR="005B0668" w:rsidRPr="00EC545A">
        <w:rPr>
          <w:rFonts w:ascii="Arial" w:hAnsi="Arial" w:cs="Arial"/>
        </w:rPr>
        <w:t>he Commonwealth Di</w:t>
      </w:r>
      <w:r w:rsidRPr="00EC545A">
        <w:rPr>
          <w:rFonts w:ascii="Arial" w:hAnsi="Arial" w:cs="Arial"/>
        </w:rPr>
        <w:t>rector for Public Prosecutions</w:t>
      </w:r>
      <w:r w:rsidR="005B0668" w:rsidRPr="00EC545A">
        <w:rPr>
          <w:rFonts w:ascii="Arial" w:hAnsi="Arial" w:cs="Arial"/>
        </w:rPr>
        <w:t xml:space="preserve"> intervened in the proceedings </w:t>
      </w:r>
      <w:r w:rsidRPr="00EC545A">
        <w:rPr>
          <w:rFonts w:ascii="Arial" w:hAnsi="Arial" w:cs="Arial"/>
        </w:rPr>
        <w:t xml:space="preserve">to support </w:t>
      </w:r>
      <w:r w:rsidR="005B0668" w:rsidRPr="00EC545A">
        <w:rPr>
          <w:rFonts w:ascii="Arial" w:hAnsi="Arial" w:cs="Arial"/>
        </w:rPr>
        <w:t xml:space="preserve">disclosure. </w:t>
      </w:r>
      <w:r w:rsidR="000310FD" w:rsidRPr="00EC545A">
        <w:rPr>
          <w:rFonts w:ascii="Arial" w:hAnsi="Arial" w:cs="Arial"/>
        </w:rPr>
        <w:t xml:space="preserve">Justice </w:t>
      </w:r>
      <w:proofErr w:type="spellStart"/>
      <w:r w:rsidR="000310FD" w:rsidRPr="00EC545A">
        <w:rPr>
          <w:rFonts w:ascii="Arial" w:hAnsi="Arial" w:cs="Arial"/>
        </w:rPr>
        <w:t>Ginnane</w:t>
      </w:r>
      <w:proofErr w:type="spellEnd"/>
      <w:r w:rsidR="000310FD" w:rsidRPr="00EC545A">
        <w:rPr>
          <w:rFonts w:ascii="Arial" w:hAnsi="Arial" w:cs="Arial"/>
        </w:rPr>
        <w:t xml:space="preserve"> noted in the primary judgment:</w:t>
      </w:r>
    </w:p>
    <w:p w14:paraId="17DA1357" w14:textId="77777777" w:rsidR="000310FD" w:rsidRPr="00EC545A" w:rsidRDefault="000310FD" w:rsidP="000310FD">
      <w:pPr>
        <w:ind w:left="720"/>
        <w:rPr>
          <w:rFonts w:ascii="Arial" w:hAnsi="Arial" w:cs="Arial"/>
          <w:sz w:val="20"/>
        </w:rPr>
      </w:pPr>
      <w:proofErr w:type="gramStart"/>
      <w:r w:rsidRPr="00EC545A">
        <w:rPr>
          <w:rFonts w:ascii="Arial" w:hAnsi="Arial" w:cs="Arial"/>
          <w:sz w:val="20"/>
        </w:rPr>
        <w:t>if</w:t>
      </w:r>
      <w:proofErr w:type="gramEnd"/>
      <w:r w:rsidRPr="00EC545A">
        <w:rPr>
          <w:rFonts w:ascii="Arial" w:hAnsi="Arial" w:cs="Arial"/>
          <w:sz w:val="20"/>
        </w:rPr>
        <w:t xml:space="preserve"> disclosure of the informer’s identity might provide substantial assistance to a person to challenge a conviction, then no obligation of confidence protects it from disclosure and such a disclosure is not a misuse of the information.</w:t>
      </w:r>
      <w:r w:rsidRPr="00EC545A">
        <w:rPr>
          <w:rStyle w:val="FootnoteReference"/>
          <w:rFonts w:ascii="Arial" w:hAnsi="Arial" w:cs="Arial"/>
          <w:sz w:val="20"/>
        </w:rPr>
        <w:footnoteReference w:id="33"/>
      </w:r>
      <w:r w:rsidRPr="00EC545A">
        <w:rPr>
          <w:rFonts w:ascii="Arial" w:hAnsi="Arial" w:cs="Arial"/>
          <w:sz w:val="20"/>
        </w:rPr>
        <w:t xml:space="preserve"> </w:t>
      </w:r>
    </w:p>
    <w:p w14:paraId="636D4CB6" w14:textId="77777777" w:rsidR="0038098F" w:rsidRDefault="00FC59FE" w:rsidP="00071155">
      <w:pPr>
        <w:rPr>
          <w:rFonts w:ascii="Arial" w:hAnsi="Arial" w:cs="Arial"/>
        </w:rPr>
      </w:pPr>
      <w:r w:rsidRPr="00EC545A">
        <w:rPr>
          <w:rFonts w:ascii="Arial" w:hAnsi="Arial" w:cs="Arial"/>
        </w:rPr>
        <w:t>If the DPPs had not</w:t>
      </w:r>
      <w:r w:rsidR="00A7580C" w:rsidRPr="00EC545A">
        <w:rPr>
          <w:rFonts w:ascii="Arial" w:hAnsi="Arial" w:cs="Arial"/>
        </w:rPr>
        <w:t xml:space="preserve"> honoured the duty of disclosure</w:t>
      </w:r>
      <w:r w:rsidR="000310FD" w:rsidRPr="00EC545A">
        <w:rPr>
          <w:rFonts w:ascii="Arial" w:hAnsi="Arial" w:cs="Arial"/>
        </w:rPr>
        <w:t>,</w:t>
      </w:r>
      <w:r w:rsidRPr="00EC545A">
        <w:rPr>
          <w:rFonts w:ascii="Arial" w:hAnsi="Arial" w:cs="Arial"/>
        </w:rPr>
        <w:t xml:space="preserve"> </w:t>
      </w:r>
      <w:r w:rsidR="000310FD" w:rsidRPr="00EC545A">
        <w:rPr>
          <w:rFonts w:ascii="Arial" w:hAnsi="Arial" w:cs="Arial"/>
        </w:rPr>
        <w:t>“fundamental and appalling breaches” of Lawyer X’s obligation to her clients and the court and the “reprehensible conduct” of Victoria Police</w:t>
      </w:r>
      <w:r w:rsidR="000310FD" w:rsidRPr="00EC545A">
        <w:rPr>
          <w:rStyle w:val="FootnoteReference"/>
          <w:rFonts w:ascii="Arial" w:hAnsi="Arial" w:cs="Arial"/>
        </w:rPr>
        <w:footnoteReference w:id="34"/>
      </w:r>
      <w:r w:rsidRPr="00EC545A">
        <w:rPr>
          <w:rFonts w:ascii="Arial" w:hAnsi="Arial" w:cs="Arial"/>
        </w:rPr>
        <w:t xml:space="preserve"> may </w:t>
      </w:r>
      <w:r w:rsidR="000310FD" w:rsidRPr="00EC545A">
        <w:rPr>
          <w:rFonts w:ascii="Arial" w:hAnsi="Arial" w:cs="Arial"/>
        </w:rPr>
        <w:t>never</w:t>
      </w:r>
      <w:r w:rsidRPr="00EC545A">
        <w:rPr>
          <w:rFonts w:ascii="Arial" w:hAnsi="Arial" w:cs="Arial"/>
        </w:rPr>
        <w:t xml:space="preserve"> have been </w:t>
      </w:r>
      <w:r w:rsidR="000310FD" w:rsidRPr="00EC545A">
        <w:rPr>
          <w:rFonts w:ascii="Arial" w:hAnsi="Arial" w:cs="Arial"/>
        </w:rPr>
        <w:t>revealed. We would not</w:t>
      </w:r>
      <w:r w:rsidR="00A9123E" w:rsidRPr="00EC545A">
        <w:rPr>
          <w:rFonts w:ascii="Arial" w:hAnsi="Arial" w:cs="Arial"/>
        </w:rPr>
        <w:t xml:space="preserve"> have known that </w:t>
      </w:r>
      <w:r w:rsidR="00E72F7D">
        <w:rPr>
          <w:rFonts w:ascii="Arial" w:hAnsi="Arial" w:cs="Arial"/>
        </w:rPr>
        <w:t>“the prosecution of each C</w:t>
      </w:r>
      <w:r w:rsidR="000310FD" w:rsidRPr="00EC545A">
        <w:rPr>
          <w:rFonts w:ascii="Arial" w:hAnsi="Arial" w:cs="Arial"/>
        </w:rPr>
        <w:t>onvicted Person was corrupted in a manner which debased fundamental premises of the criminal justice system”.</w:t>
      </w:r>
      <w:r w:rsidR="000310FD" w:rsidRPr="00EC545A">
        <w:rPr>
          <w:rStyle w:val="FootnoteReference"/>
          <w:rFonts w:ascii="Arial" w:hAnsi="Arial" w:cs="Arial"/>
        </w:rPr>
        <w:footnoteReference w:id="35"/>
      </w:r>
      <w:r w:rsidR="00136EF0" w:rsidRPr="00EC545A">
        <w:rPr>
          <w:rFonts w:ascii="Arial" w:hAnsi="Arial" w:cs="Arial"/>
        </w:rPr>
        <w:t xml:space="preserve"> </w:t>
      </w:r>
    </w:p>
    <w:p w14:paraId="24249C24" w14:textId="7324C2EC" w:rsidR="00071155" w:rsidRPr="00EC545A" w:rsidRDefault="00136EF0" w:rsidP="00071155">
      <w:pPr>
        <w:rPr>
          <w:rFonts w:ascii="Arial" w:hAnsi="Arial" w:cs="Arial"/>
        </w:rPr>
      </w:pPr>
      <w:r w:rsidRPr="00EC545A">
        <w:rPr>
          <w:rFonts w:ascii="Arial" w:hAnsi="Arial" w:cs="Arial"/>
        </w:rPr>
        <w:t xml:space="preserve">The Directors acted as exemplary </w:t>
      </w:r>
      <w:r w:rsidR="00951BCD" w:rsidRPr="00EC545A">
        <w:rPr>
          <w:rFonts w:ascii="Arial" w:hAnsi="Arial" w:cs="Arial"/>
        </w:rPr>
        <w:t>ministers of justice.</w:t>
      </w:r>
    </w:p>
    <w:p w14:paraId="23DABB84" w14:textId="3A724AE5" w:rsidR="003B1F56" w:rsidRPr="00EC545A" w:rsidRDefault="00A9123E" w:rsidP="00071155">
      <w:pPr>
        <w:rPr>
          <w:rFonts w:ascii="Arial" w:hAnsi="Arial" w:cs="Arial"/>
          <w:b/>
        </w:rPr>
      </w:pPr>
      <w:r w:rsidRPr="00EC545A">
        <w:rPr>
          <w:rFonts w:ascii="Arial" w:hAnsi="Arial" w:cs="Arial"/>
          <w:b/>
        </w:rPr>
        <w:t>Some specific duties</w:t>
      </w:r>
    </w:p>
    <w:p w14:paraId="169E8414" w14:textId="77777777" w:rsidR="00327DAC" w:rsidRPr="00EC545A" w:rsidRDefault="00327DAC" w:rsidP="00327DAC">
      <w:pPr>
        <w:rPr>
          <w:rFonts w:ascii="Arial" w:hAnsi="Arial" w:cs="Arial"/>
          <w:u w:val="single"/>
        </w:rPr>
      </w:pPr>
      <w:r w:rsidRPr="00EC545A">
        <w:rPr>
          <w:rFonts w:ascii="Arial" w:hAnsi="Arial" w:cs="Arial"/>
          <w:u w:val="single"/>
        </w:rPr>
        <w:t>Duty of disclosure</w:t>
      </w:r>
    </w:p>
    <w:p w14:paraId="5A3DA0BF" w14:textId="4425B2DB" w:rsidR="00327DAC" w:rsidRPr="00EC545A" w:rsidRDefault="00327DAC" w:rsidP="00327DAC">
      <w:pPr>
        <w:rPr>
          <w:rFonts w:ascii="Arial" w:hAnsi="Arial" w:cs="Arial"/>
        </w:rPr>
      </w:pPr>
      <w:r w:rsidRPr="00EC545A">
        <w:rPr>
          <w:rFonts w:ascii="Arial" w:hAnsi="Arial" w:cs="Arial"/>
        </w:rPr>
        <w:t xml:space="preserve">At common law, the prosecution must disclose all </w:t>
      </w:r>
      <w:r w:rsidR="003B1F56" w:rsidRPr="00EC545A">
        <w:rPr>
          <w:rFonts w:ascii="Arial" w:hAnsi="Arial" w:cs="Arial"/>
        </w:rPr>
        <w:t>relevant evidence to the</w:t>
      </w:r>
      <w:r w:rsidRPr="00EC545A">
        <w:rPr>
          <w:rFonts w:ascii="Arial" w:hAnsi="Arial" w:cs="Arial"/>
        </w:rPr>
        <w:t xml:space="preserve"> accused.</w:t>
      </w:r>
      <w:r w:rsidR="00EC545A">
        <w:rPr>
          <w:rFonts w:ascii="Arial" w:hAnsi="Arial" w:cs="Arial"/>
        </w:rPr>
        <w:t xml:space="preserve"> </w:t>
      </w:r>
      <w:r w:rsidR="003B1F56" w:rsidRPr="00EC545A">
        <w:rPr>
          <w:rFonts w:ascii="Arial" w:hAnsi="Arial" w:cs="Arial"/>
        </w:rPr>
        <w:t>A f</w:t>
      </w:r>
      <w:r w:rsidRPr="00EC545A">
        <w:rPr>
          <w:rFonts w:ascii="Arial" w:hAnsi="Arial" w:cs="Arial"/>
        </w:rPr>
        <w:t>ailure to do so may lead to the quashing of a guilty verdict.</w:t>
      </w:r>
      <w:r w:rsidRPr="00EC545A">
        <w:rPr>
          <w:rStyle w:val="FootnoteReference"/>
          <w:rFonts w:ascii="Arial" w:hAnsi="Arial" w:cs="Arial"/>
        </w:rPr>
        <w:footnoteReference w:id="36"/>
      </w:r>
      <w:r w:rsidRPr="00EC545A">
        <w:rPr>
          <w:rFonts w:ascii="Arial" w:hAnsi="Arial" w:cs="Arial"/>
        </w:rPr>
        <w:t xml:space="preserve"> This duty extends to disclosing significant evidence concerning the credibility of prosecution witnesses, and any other material that may undermine the prosecution case or assist the defence case.</w:t>
      </w:r>
      <w:r w:rsidRPr="00EC545A">
        <w:rPr>
          <w:rStyle w:val="FootnoteReference"/>
          <w:rFonts w:ascii="Arial" w:hAnsi="Arial" w:cs="Arial"/>
        </w:rPr>
        <w:footnoteReference w:id="37"/>
      </w:r>
      <w:r w:rsidRPr="00EC545A">
        <w:rPr>
          <w:rFonts w:ascii="Arial" w:hAnsi="Arial" w:cs="Arial"/>
        </w:rPr>
        <w:t xml:space="preserve"> </w:t>
      </w:r>
    </w:p>
    <w:p w14:paraId="46977975" w14:textId="3BFE9B99" w:rsidR="00813AF9" w:rsidRPr="0038098F" w:rsidRDefault="00327DAC" w:rsidP="00BF3166">
      <w:pPr>
        <w:rPr>
          <w:rFonts w:ascii="Arial" w:hAnsi="Arial" w:cs="Arial"/>
        </w:rPr>
      </w:pPr>
      <w:r w:rsidRPr="0038098F">
        <w:rPr>
          <w:rFonts w:ascii="Arial" w:hAnsi="Arial" w:cs="Arial"/>
        </w:rPr>
        <w:t xml:space="preserve">The duty is continuous and it can extend beyond the end of the trial. </w:t>
      </w:r>
      <w:r w:rsidR="00813AF9" w:rsidRPr="0038098F">
        <w:rPr>
          <w:rFonts w:ascii="Arial" w:hAnsi="Arial" w:cs="Arial"/>
        </w:rPr>
        <w:t xml:space="preserve">It applies to all accused, regardless of the gravity of the accusation. A famous example is the prosecution of Mario </w:t>
      </w:r>
      <w:proofErr w:type="spellStart"/>
      <w:r w:rsidR="00813AF9" w:rsidRPr="0038098F">
        <w:rPr>
          <w:rFonts w:ascii="Arial" w:hAnsi="Arial" w:cs="Arial"/>
        </w:rPr>
        <w:t>Cerkez</w:t>
      </w:r>
      <w:proofErr w:type="spellEnd"/>
      <w:r w:rsidR="00813AF9" w:rsidRPr="0038098F">
        <w:rPr>
          <w:rFonts w:ascii="Arial" w:hAnsi="Arial" w:cs="Arial"/>
        </w:rPr>
        <w:t xml:space="preserve">, a member of the Croatian military accused of </w:t>
      </w:r>
      <w:r w:rsidR="00FE3571" w:rsidRPr="0038098F">
        <w:rPr>
          <w:rFonts w:ascii="Arial" w:hAnsi="Arial" w:cs="Arial"/>
        </w:rPr>
        <w:t xml:space="preserve">crimes against humanity and grave breaches of the </w:t>
      </w:r>
      <w:r w:rsidR="00FE3571" w:rsidRPr="0038098F">
        <w:rPr>
          <w:rFonts w:ascii="Arial" w:hAnsi="Arial" w:cs="Arial"/>
          <w:i/>
        </w:rPr>
        <w:t>Geneva Convention</w:t>
      </w:r>
      <w:r w:rsidR="00813AF9" w:rsidRPr="0038098F">
        <w:rPr>
          <w:rFonts w:ascii="Arial" w:hAnsi="Arial" w:cs="Arial"/>
        </w:rPr>
        <w:t xml:space="preserve"> </w:t>
      </w:r>
      <w:r w:rsidR="00FE3571" w:rsidRPr="0038098F">
        <w:rPr>
          <w:rFonts w:ascii="Arial" w:hAnsi="Arial" w:cs="Arial"/>
        </w:rPr>
        <w:t>during</w:t>
      </w:r>
      <w:r w:rsidR="00813AF9" w:rsidRPr="0038098F">
        <w:rPr>
          <w:rFonts w:ascii="Arial" w:hAnsi="Arial" w:cs="Arial"/>
        </w:rPr>
        <w:t xml:space="preserve"> the Croat–</w:t>
      </w:r>
      <w:proofErr w:type="spellStart"/>
      <w:r w:rsidR="00813AF9" w:rsidRPr="0038098F">
        <w:rPr>
          <w:rFonts w:ascii="Arial" w:hAnsi="Arial" w:cs="Arial"/>
        </w:rPr>
        <w:t>Bosniak</w:t>
      </w:r>
      <w:proofErr w:type="spellEnd"/>
      <w:r w:rsidR="00813AF9" w:rsidRPr="0038098F">
        <w:rPr>
          <w:rFonts w:ascii="Arial" w:hAnsi="Arial" w:cs="Arial"/>
        </w:rPr>
        <w:t xml:space="preserve"> War. He </w:t>
      </w:r>
      <w:r w:rsidR="0038098F" w:rsidRPr="0038098F">
        <w:rPr>
          <w:rFonts w:ascii="Arial" w:hAnsi="Arial" w:cs="Arial"/>
        </w:rPr>
        <w:t xml:space="preserve">had been </w:t>
      </w:r>
      <w:r w:rsidR="00813AF9" w:rsidRPr="0038098F">
        <w:rPr>
          <w:rFonts w:ascii="Arial" w:hAnsi="Arial" w:cs="Arial"/>
        </w:rPr>
        <w:t xml:space="preserve">convicted </w:t>
      </w:r>
      <w:r w:rsidR="00BF3166" w:rsidRPr="0038098F">
        <w:rPr>
          <w:rFonts w:ascii="Arial" w:hAnsi="Arial" w:cs="Arial"/>
        </w:rPr>
        <w:t>by the Trial Chamber of the International Criminal Tribunal of the former Yugoslavia (ICTY)</w:t>
      </w:r>
      <w:r w:rsidR="001D6FF0" w:rsidRPr="0038098F">
        <w:rPr>
          <w:rFonts w:ascii="Arial" w:hAnsi="Arial" w:cs="Arial"/>
        </w:rPr>
        <w:t>,</w:t>
      </w:r>
      <w:r w:rsidR="00BF3166" w:rsidRPr="0038098F">
        <w:rPr>
          <w:rFonts w:ascii="Arial" w:hAnsi="Arial" w:cs="Arial"/>
        </w:rPr>
        <w:t xml:space="preserve"> and sentenced to 15 years’ imprisonment. His appeal was delayed, b</w:t>
      </w:r>
      <w:r w:rsidR="00813AF9" w:rsidRPr="0038098F">
        <w:rPr>
          <w:rFonts w:ascii="Arial" w:hAnsi="Arial" w:cs="Arial"/>
        </w:rPr>
        <w:t>ecause the prosecutor</w:t>
      </w:r>
      <w:r w:rsidR="0038098F" w:rsidRPr="0038098F">
        <w:rPr>
          <w:rFonts w:ascii="Arial" w:hAnsi="Arial" w:cs="Arial"/>
        </w:rPr>
        <w:t xml:space="preserve"> had</w:t>
      </w:r>
      <w:r w:rsidR="00813AF9" w:rsidRPr="0038098F">
        <w:rPr>
          <w:rFonts w:ascii="Arial" w:hAnsi="Arial" w:cs="Arial"/>
        </w:rPr>
        <w:t xml:space="preserve"> </w:t>
      </w:r>
      <w:r w:rsidR="00BF3166" w:rsidRPr="0038098F">
        <w:rPr>
          <w:rFonts w:ascii="Arial" w:hAnsi="Arial" w:cs="Arial"/>
        </w:rPr>
        <w:t>failed to</w:t>
      </w:r>
      <w:r w:rsidR="00813AF9" w:rsidRPr="0038098F">
        <w:rPr>
          <w:rFonts w:ascii="Arial" w:hAnsi="Arial" w:cs="Arial"/>
        </w:rPr>
        <w:t xml:space="preserve"> disclose witness statements and exculpatory evidence tha</w:t>
      </w:r>
      <w:r w:rsidR="0038098F" w:rsidRPr="0038098F">
        <w:rPr>
          <w:rFonts w:ascii="Arial" w:hAnsi="Arial" w:cs="Arial"/>
        </w:rPr>
        <w:t>t were received after the trial</w:t>
      </w:r>
      <w:r w:rsidR="00813AF9" w:rsidRPr="0038098F">
        <w:rPr>
          <w:rFonts w:ascii="Arial" w:hAnsi="Arial" w:cs="Arial"/>
        </w:rPr>
        <w:t xml:space="preserve">. </w:t>
      </w:r>
    </w:p>
    <w:p w14:paraId="1B02AEC4" w14:textId="3752B675" w:rsidR="00813AF9" w:rsidRPr="00EC545A" w:rsidRDefault="00BF3166" w:rsidP="00813AF9">
      <w:pPr>
        <w:rPr>
          <w:rFonts w:ascii="Arial" w:hAnsi="Arial" w:cs="Arial"/>
        </w:rPr>
      </w:pPr>
      <w:r w:rsidRPr="0038098F">
        <w:rPr>
          <w:rFonts w:ascii="Arial" w:hAnsi="Arial" w:cs="Arial"/>
        </w:rPr>
        <w:t xml:space="preserve">The ICTY </w:t>
      </w:r>
      <w:r w:rsidR="0038098F" w:rsidRPr="0038098F">
        <w:rPr>
          <w:rFonts w:ascii="Arial" w:hAnsi="Arial" w:cs="Arial"/>
        </w:rPr>
        <w:t>criticised</w:t>
      </w:r>
      <w:r w:rsidRPr="0038098F">
        <w:rPr>
          <w:rFonts w:ascii="Arial" w:hAnsi="Arial" w:cs="Arial"/>
        </w:rPr>
        <w:t xml:space="preserve"> the prosecution for its failure to disclose – a duty </w:t>
      </w:r>
      <w:r w:rsidR="0038098F" w:rsidRPr="0038098F">
        <w:rPr>
          <w:rFonts w:ascii="Arial" w:hAnsi="Arial" w:cs="Arial"/>
        </w:rPr>
        <w:t xml:space="preserve">that </w:t>
      </w:r>
      <w:r w:rsidRPr="0038098F">
        <w:rPr>
          <w:rFonts w:ascii="Arial" w:hAnsi="Arial" w:cs="Arial"/>
        </w:rPr>
        <w:t xml:space="preserve">the Tribunal </w:t>
      </w:r>
      <w:r w:rsidR="0038098F" w:rsidRPr="0038098F">
        <w:rPr>
          <w:rFonts w:ascii="Arial" w:hAnsi="Arial" w:cs="Arial"/>
        </w:rPr>
        <w:t>said was part of the prosecutor’s</w:t>
      </w:r>
      <w:r w:rsidRPr="0038098F">
        <w:rPr>
          <w:rFonts w:ascii="Arial" w:hAnsi="Arial" w:cs="Arial"/>
        </w:rPr>
        <w:t xml:space="preserve"> duty as </w:t>
      </w:r>
      <w:r w:rsidR="0038098F" w:rsidRPr="0038098F">
        <w:rPr>
          <w:rFonts w:ascii="Arial" w:hAnsi="Arial" w:cs="Arial"/>
        </w:rPr>
        <w:t>a minister</w:t>
      </w:r>
      <w:r w:rsidRPr="0038098F">
        <w:rPr>
          <w:rFonts w:ascii="Arial" w:hAnsi="Arial" w:cs="Arial"/>
        </w:rPr>
        <w:t xml:space="preserve"> of justice.</w:t>
      </w:r>
      <w:r w:rsidRPr="0038098F">
        <w:rPr>
          <w:rStyle w:val="FootnoteReference"/>
          <w:rFonts w:ascii="Arial" w:hAnsi="Arial" w:cs="Arial"/>
        </w:rPr>
        <w:footnoteReference w:id="38"/>
      </w:r>
      <w:r w:rsidRPr="0038098F">
        <w:rPr>
          <w:rFonts w:ascii="Arial" w:hAnsi="Arial" w:cs="Arial"/>
        </w:rPr>
        <w:t xml:space="preserve"> On appeal, </w:t>
      </w:r>
      <w:proofErr w:type="spellStart"/>
      <w:r w:rsidRPr="0038098F">
        <w:rPr>
          <w:rFonts w:ascii="Arial" w:hAnsi="Arial" w:cs="Arial"/>
        </w:rPr>
        <w:t>Cerkez’s</w:t>
      </w:r>
      <w:proofErr w:type="spellEnd"/>
      <w:r w:rsidRPr="0038098F">
        <w:rPr>
          <w:rFonts w:ascii="Arial" w:hAnsi="Arial" w:cs="Arial"/>
        </w:rPr>
        <w:t xml:space="preserve"> sentence was reduced to 6 years. But by the time </w:t>
      </w:r>
      <w:r w:rsidR="0038098F" w:rsidRPr="0038098F">
        <w:rPr>
          <w:rFonts w:ascii="Arial" w:hAnsi="Arial" w:cs="Arial"/>
        </w:rPr>
        <w:t xml:space="preserve">that </w:t>
      </w:r>
      <w:r w:rsidRPr="0038098F">
        <w:rPr>
          <w:rFonts w:ascii="Arial" w:hAnsi="Arial" w:cs="Arial"/>
        </w:rPr>
        <w:t>the appeal judgment was delivered, he had already served more than seven years in prison.</w:t>
      </w:r>
      <w:r w:rsidRPr="0038098F">
        <w:rPr>
          <w:rStyle w:val="FootnoteReference"/>
          <w:rFonts w:ascii="Arial" w:hAnsi="Arial" w:cs="Arial"/>
        </w:rPr>
        <w:footnoteReference w:id="39"/>
      </w:r>
      <w:r w:rsidRPr="0038098F">
        <w:rPr>
          <w:rFonts w:ascii="Arial" w:hAnsi="Arial" w:cs="Arial"/>
        </w:rPr>
        <w:t xml:space="preserve"> </w:t>
      </w:r>
      <w:r w:rsidR="00813AF9" w:rsidRPr="0038098F">
        <w:rPr>
          <w:rFonts w:ascii="Arial" w:hAnsi="Arial" w:cs="Arial"/>
        </w:rPr>
        <w:t xml:space="preserve">The delay caused by the lack of disclosure materially contributed to </w:t>
      </w:r>
      <w:r w:rsidR="0038098F" w:rsidRPr="0038098F">
        <w:rPr>
          <w:rFonts w:ascii="Arial" w:hAnsi="Arial" w:cs="Arial"/>
        </w:rPr>
        <w:t>the excessive imprisonment</w:t>
      </w:r>
      <w:r w:rsidR="00813AF9" w:rsidRPr="0038098F">
        <w:rPr>
          <w:rFonts w:ascii="Arial" w:hAnsi="Arial" w:cs="Arial"/>
        </w:rPr>
        <w:t>.</w:t>
      </w:r>
      <w:r w:rsidR="00813AF9" w:rsidRPr="00EC545A">
        <w:rPr>
          <w:rFonts w:ascii="Arial" w:hAnsi="Arial" w:cs="Arial"/>
        </w:rPr>
        <w:t xml:space="preserve"> </w:t>
      </w:r>
    </w:p>
    <w:p w14:paraId="6F4009F3" w14:textId="0F53FB42" w:rsidR="005E34BA" w:rsidRPr="00EC545A" w:rsidRDefault="005E34BA" w:rsidP="005E34BA">
      <w:pPr>
        <w:rPr>
          <w:rFonts w:ascii="Arial" w:hAnsi="Arial" w:cs="Arial"/>
          <w:u w:val="single"/>
        </w:rPr>
      </w:pPr>
      <w:r w:rsidRPr="00EC545A">
        <w:rPr>
          <w:rFonts w:ascii="Arial" w:hAnsi="Arial" w:cs="Arial"/>
          <w:u w:val="single"/>
        </w:rPr>
        <w:t>Duty to call all credible and relevant</w:t>
      </w:r>
      <w:r w:rsidR="003B1F56" w:rsidRPr="00EC545A">
        <w:rPr>
          <w:rFonts w:ascii="Arial" w:hAnsi="Arial" w:cs="Arial"/>
          <w:u w:val="single"/>
        </w:rPr>
        <w:t xml:space="preserve"> evidence</w:t>
      </w:r>
    </w:p>
    <w:p w14:paraId="08CD4E38" w14:textId="1027D5A3" w:rsidR="00E765CB" w:rsidRPr="00EC545A" w:rsidRDefault="003B1F56" w:rsidP="00E765CB">
      <w:pPr>
        <w:rPr>
          <w:rFonts w:ascii="Arial" w:hAnsi="Arial" w:cs="Arial"/>
        </w:rPr>
      </w:pPr>
      <w:r w:rsidRPr="00EC545A">
        <w:rPr>
          <w:rFonts w:ascii="Arial" w:hAnsi="Arial" w:cs="Arial"/>
        </w:rPr>
        <w:t>The courts cannot review a</w:t>
      </w:r>
      <w:r w:rsidR="00E765CB" w:rsidRPr="00EC545A">
        <w:rPr>
          <w:rFonts w:ascii="Arial" w:hAnsi="Arial" w:cs="Arial"/>
        </w:rPr>
        <w:t xml:space="preserve"> decision to </w:t>
      </w:r>
      <w:r w:rsidRPr="00EC545A">
        <w:rPr>
          <w:rFonts w:ascii="Arial" w:hAnsi="Arial" w:cs="Arial"/>
        </w:rPr>
        <w:t>prosecute (or not to prosecute)</w:t>
      </w:r>
      <w:r w:rsidR="00E765CB" w:rsidRPr="00EC545A">
        <w:rPr>
          <w:rFonts w:ascii="Arial" w:hAnsi="Arial" w:cs="Arial"/>
        </w:rPr>
        <w:t>.</w:t>
      </w:r>
      <w:r w:rsidR="00E765CB" w:rsidRPr="00EC545A">
        <w:rPr>
          <w:rStyle w:val="FootnoteReference"/>
          <w:rFonts w:ascii="Arial" w:hAnsi="Arial" w:cs="Arial"/>
        </w:rPr>
        <w:footnoteReference w:id="40"/>
      </w:r>
      <w:r w:rsidR="00E765CB" w:rsidRPr="00EC545A">
        <w:rPr>
          <w:rFonts w:ascii="Arial" w:hAnsi="Arial" w:cs="Arial"/>
        </w:rPr>
        <w:t xml:space="preserve"> </w:t>
      </w:r>
    </w:p>
    <w:p w14:paraId="5B0C94A8" w14:textId="1219BF9B" w:rsidR="00074F20" w:rsidRPr="00EC545A" w:rsidRDefault="003B1F56" w:rsidP="00E24261">
      <w:pPr>
        <w:rPr>
          <w:rFonts w:ascii="Arial" w:hAnsi="Arial" w:cs="Arial"/>
        </w:rPr>
      </w:pPr>
      <w:r w:rsidRPr="00EC545A">
        <w:rPr>
          <w:rFonts w:ascii="Arial" w:hAnsi="Arial" w:cs="Arial"/>
        </w:rPr>
        <w:t xml:space="preserve">Similarly, it is a prosecutor who decides </w:t>
      </w:r>
      <w:r w:rsidR="00E765CB" w:rsidRPr="00EC545A">
        <w:rPr>
          <w:rFonts w:ascii="Arial" w:hAnsi="Arial" w:cs="Arial"/>
        </w:rPr>
        <w:t>what witnesses should be called.</w:t>
      </w:r>
      <w:r w:rsidR="00EE359B" w:rsidRPr="00EC545A">
        <w:rPr>
          <w:rStyle w:val="FootnoteReference"/>
          <w:rFonts w:ascii="Arial" w:hAnsi="Arial" w:cs="Arial"/>
        </w:rPr>
        <w:footnoteReference w:id="41"/>
      </w:r>
      <w:r w:rsidR="00E765CB" w:rsidRPr="00EC545A">
        <w:rPr>
          <w:rFonts w:ascii="Arial" w:hAnsi="Arial" w:cs="Arial"/>
        </w:rPr>
        <w:t xml:space="preserve"> </w:t>
      </w:r>
      <w:r w:rsidR="006C5CC0" w:rsidRPr="00EC545A">
        <w:rPr>
          <w:rFonts w:ascii="Arial" w:hAnsi="Arial" w:cs="Arial"/>
        </w:rPr>
        <w:t xml:space="preserve">As the High Court recognised in </w:t>
      </w:r>
      <w:r w:rsidR="006C5CC0" w:rsidRPr="00EC545A">
        <w:rPr>
          <w:rFonts w:ascii="Arial" w:hAnsi="Arial" w:cs="Arial"/>
          <w:i/>
        </w:rPr>
        <w:t xml:space="preserve">R v </w:t>
      </w:r>
      <w:proofErr w:type="spellStart"/>
      <w:r w:rsidR="006C5CC0" w:rsidRPr="00EC545A">
        <w:rPr>
          <w:rFonts w:ascii="Arial" w:hAnsi="Arial" w:cs="Arial"/>
          <w:i/>
        </w:rPr>
        <w:t>Apostilides</w:t>
      </w:r>
      <w:proofErr w:type="spellEnd"/>
      <w:r w:rsidR="006C5CC0" w:rsidRPr="00EC545A">
        <w:rPr>
          <w:rFonts w:ascii="Arial" w:hAnsi="Arial" w:cs="Arial"/>
        </w:rPr>
        <w:t>,</w:t>
      </w:r>
      <w:r w:rsidR="006C5CC0" w:rsidRPr="00EC545A">
        <w:rPr>
          <w:rStyle w:val="FootnoteReference"/>
          <w:rFonts w:ascii="Arial" w:hAnsi="Arial" w:cs="Arial"/>
        </w:rPr>
        <w:footnoteReference w:id="42"/>
      </w:r>
      <w:r w:rsidR="00074F20" w:rsidRPr="00EC545A">
        <w:rPr>
          <w:rFonts w:ascii="Arial" w:hAnsi="Arial" w:cs="Arial"/>
        </w:rPr>
        <w:t xml:space="preserve"> it is only in exceptional circumstances that</w:t>
      </w:r>
      <w:r w:rsidR="006C5CC0" w:rsidRPr="00EC545A">
        <w:rPr>
          <w:rFonts w:ascii="Arial" w:hAnsi="Arial" w:cs="Arial"/>
        </w:rPr>
        <w:t xml:space="preserve"> </w:t>
      </w:r>
      <w:r w:rsidRPr="00EC545A">
        <w:rPr>
          <w:rFonts w:ascii="Arial" w:hAnsi="Arial" w:cs="Arial"/>
        </w:rPr>
        <w:t>a</w:t>
      </w:r>
      <w:r w:rsidR="006C5CC0" w:rsidRPr="00EC545A">
        <w:rPr>
          <w:rFonts w:ascii="Arial" w:hAnsi="Arial" w:cs="Arial"/>
        </w:rPr>
        <w:t xml:space="preserve"> trial judge should</w:t>
      </w:r>
      <w:r w:rsidR="00074F20" w:rsidRPr="00EC545A">
        <w:rPr>
          <w:rFonts w:ascii="Arial" w:hAnsi="Arial" w:cs="Arial"/>
        </w:rPr>
        <w:t xml:space="preserve"> call a witness </w:t>
      </w:r>
      <w:r w:rsidR="00D800C7" w:rsidRPr="00EC545A">
        <w:rPr>
          <w:rFonts w:ascii="Arial" w:hAnsi="Arial" w:cs="Arial"/>
        </w:rPr>
        <w:t>on their own initiative</w:t>
      </w:r>
      <w:r w:rsidR="006C5CC0" w:rsidRPr="00EC545A">
        <w:rPr>
          <w:rFonts w:ascii="Arial" w:hAnsi="Arial" w:cs="Arial"/>
        </w:rPr>
        <w:t>.</w:t>
      </w:r>
      <w:r w:rsidR="00D800C7" w:rsidRPr="00EC545A">
        <w:rPr>
          <w:rFonts w:ascii="Arial" w:hAnsi="Arial" w:cs="Arial"/>
        </w:rPr>
        <w:t xml:space="preserve"> In my experience, this has never occurred. </w:t>
      </w:r>
    </w:p>
    <w:p w14:paraId="06CAA285" w14:textId="0CAFC960" w:rsidR="006C5CC0" w:rsidRPr="00EC545A" w:rsidRDefault="00D800C7" w:rsidP="00E24261">
      <w:pPr>
        <w:rPr>
          <w:rFonts w:ascii="Arial" w:hAnsi="Arial" w:cs="Arial"/>
        </w:rPr>
      </w:pPr>
      <w:r w:rsidRPr="00EC545A">
        <w:rPr>
          <w:rFonts w:ascii="Arial" w:hAnsi="Arial" w:cs="Arial"/>
        </w:rPr>
        <w:t>The exercise of a discretion to not call a witness is only appealable if, when viewed against the conduct of the trial as a whole, it gives rise to a miscarriage of justice.</w:t>
      </w:r>
      <w:r w:rsidRPr="00EC545A">
        <w:rPr>
          <w:rStyle w:val="FootnoteReference"/>
          <w:rFonts w:ascii="Arial" w:hAnsi="Arial" w:cs="Arial"/>
        </w:rPr>
        <w:footnoteReference w:id="43"/>
      </w:r>
      <w:r w:rsidRPr="00EC545A">
        <w:rPr>
          <w:rFonts w:ascii="Arial" w:hAnsi="Arial" w:cs="Arial"/>
        </w:rPr>
        <w:t xml:space="preserve"> </w:t>
      </w:r>
    </w:p>
    <w:p w14:paraId="26C989E1" w14:textId="40BD13ED" w:rsidR="00FD29E7" w:rsidRPr="00EC545A" w:rsidRDefault="00FD29E7" w:rsidP="00E24261">
      <w:pPr>
        <w:rPr>
          <w:rFonts w:ascii="Arial" w:hAnsi="Arial" w:cs="Arial"/>
        </w:rPr>
      </w:pPr>
      <w:r w:rsidRPr="00EC545A">
        <w:rPr>
          <w:rFonts w:ascii="Arial" w:hAnsi="Arial" w:cs="Arial"/>
        </w:rPr>
        <w:t>As there is little a trial court can do to scrutinise a prosecutor’s decision, it becomes i</w:t>
      </w:r>
      <w:r w:rsidR="00E05EA5" w:rsidRPr="00EC545A">
        <w:rPr>
          <w:rFonts w:ascii="Arial" w:hAnsi="Arial" w:cs="Arial"/>
        </w:rPr>
        <w:t>mperative that the prosecutor</w:t>
      </w:r>
      <w:r w:rsidRPr="00EC545A">
        <w:rPr>
          <w:rFonts w:ascii="Arial" w:hAnsi="Arial" w:cs="Arial"/>
        </w:rPr>
        <w:t xml:space="preserve"> call</w:t>
      </w:r>
      <w:r w:rsidR="008677D9" w:rsidRPr="00EC545A">
        <w:rPr>
          <w:rFonts w:ascii="Arial" w:hAnsi="Arial" w:cs="Arial"/>
        </w:rPr>
        <w:t>:</w:t>
      </w:r>
    </w:p>
    <w:p w14:paraId="1CBB541B" w14:textId="77777777" w:rsidR="00FD29E7" w:rsidRPr="00EC545A" w:rsidRDefault="00FD29E7" w:rsidP="00FD29E7">
      <w:pPr>
        <w:ind w:left="720"/>
        <w:rPr>
          <w:rFonts w:ascii="Arial" w:hAnsi="Arial" w:cs="Arial"/>
          <w:sz w:val="20"/>
        </w:rPr>
      </w:pPr>
      <w:r w:rsidRPr="00EC545A">
        <w:rPr>
          <w:rFonts w:ascii="Arial" w:hAnsi="Arial" w:cs="Arial"/>
          <w:sz w:val="20"/>
        </w:rPr>
        <w:t>[</w:t>
      </w:r>
      <w:proofErr w:type="gramStart"/>
      <w:r w:rsidRPr="00EC545A">
        <w:rPr>
          <w:rFonts w:ascii="Arial" w:hAnsi="Arial" w:cs="Arial"/>
          <w:sz w:val="20"/>
        </w:rPr>
        <w:t>a]</w:t>
      </w:r>
      <w:proofErr w:type="spellStart"/>
      <w:proofErr w:type="gramEnd"/>
      <w:r w:rsidRPr="00EC545A">
        <w:rPr>
          <w:rFonts w:ascii="Arial" w:hAnsi="Arial" w:cs="Arial"/>
          <w:sz w:val="20"/>
        </w:rPr>
        <w:t>ll</w:t>
      </w:r>
      <w:proofErr w:type="spellEnd"/>
      <w:r w:rsidRPr="00EC545A">
        <w:rPr>
          <w:rFonts w:ascii="Arial" w:hAnsi="Arial" w:cs="Arial"/>
          <w:sz w:val="20"/>
        </w:rPr>
        <w:t xml:space="preserve"> available witnesses ... whose evidence is necessary to unfold the narrative and give a complete account of the events upon which the prosecution is based.</w:t>
      </w:r>
      <w:r w:rsidRPr="00EC545A">
        <w:rPr>
          <w:rStyle w:val="FootnoteReference"/>
          <w:rFonts w:ascii="Arial" w:hAnsi="Arial" w:cs="Arial"/>
          <w:sz w:val="20"/>
        </w:rPr>
        <w:footnoteReference w:id="44"/>
      </w:r>
    </w:p>
    <w:p w14:paraId="4AB2D394" w14:textId="77777777" w:rsidR="0038098F" w:rsidRDefault="009434EB" w:rsidP="00E24261">
      <w:pPr>
        <w:rPr>
          <w:rFonts w:ascii="Arial" w:hAnsi="Arial" w:cs="Arial"/>
        </w:rPr>
      </w:pPr>
      <w:r w:rsidRPr="00EC545A">
        <w:rPr>
          <w:rFonts w:ascii="Arial" w:hAnsi="Arial" w:cs="Arial"/>
        </w:rPr>
        <w:t>This</w:t>
      </w:r>
      <w:r w:rsidR="00FD29E7" w:rsidRPr="00EC545A">
        <w:rPr>
          <w:rFonts w:ascii="Arial" w:hAnsi="Arial" w:cs="Arial"/>
        </w:rPr>
        <w:t xml:space="preserve"> includ</w:t>
      </w:r>
      <w:r w:rsidRPr="00EC545A">
        <w:rPr>
          <w:rFonts w:ascii="Arial" w:hAnsi="Arial" w:cs="Arial"/>
        </w:rPr>
        <w:t>e</w:t>
      </w:r>
      <w:r w:rsidR="00E05EA5" w:rsidRPr="00EC545A">
        <w:rPr>
          <w:rFonts w:ascii="Arial" w:hAnsi="Arial" w:cs="Arial"/>
        </w:rPr>
        <w:t>s</w:t>
      </w:r>
      <w:r w:rsidR="00FD29E7" w:rsidRPr="00EC545A">
        <w:rPr>
          <w:rFonts w:ascii="Arial" w:hAnsi="Arial" w:cs="Arial"/>
        </w:rPr>
        <w:t xml:space="preserve"> </w:t>
      </w:r>
      <w:r w:rsidRPr="00EC545A">
        <w:rPr>
          <w:rFonts w:ascii="Arial" w:hAnsi="Arial" w:cs="Arial"/>
        </w:rPr>
        <w:t>witnesses whose evidence</w:t>
      </w:r>
      <w:r w:rsidR="00E05EA5" w:rsidRPr="00EC545A">
        <w:rPr>
          <w:rFonts w:ascii="Arial" w:hAnsi="Arial" w:cs="Arial"/>
        </w:rPr>
        <w:t xml:space="preserve"> may be unfavourable to the C</w:t>
      </w:r>
      <w:r w:rsidR="00FD29E7" w:rsidRPr="00EC545A">
        <w:rPr>
          <w:rFonts w:ascii="Arial" w:hAnsi="Arial" w:cs="Arial"/>
        </w:rPr>
        <w:t>rown case.</w:t>
      </w:r>
      <w:r w:rsidR="00FD29E7" w:rsidRPr="00EC545A">
        <w:rPr>
          <w:rStyle w:val="FootnoteReference"/>
          <w:rFonts w:ascii="Arial" w:hAnsi="Arial" w:cs="Arial"/>
        </w:rPr>
        <w:footnoteReference w:id="45"/>
      </w:r>
      <w:r w:rsidR="00FD29E7" w:rsidRPr="00EC545A">
        <w:rPr>
          <w:rFonts w:ascii="Arial" w:hAnsi="Arial" w:cs="Arial"/>
        </w:rPr>
        <w:t xml:space="preserve"> </w:t>
      </w:r>
    </w:p>
    <w:p w14:paraId="599661B4" w14:textId="48A4E285" w:rsidR="00D800C7" w:rsidRPr="00EC545A" w:rsidRDefault="0038098F" w:rsidP="00E24261">
      <w:pPr>
        <w:rPr>
          <w:rFonts w:ascii="Arial" w:hAnsi="Arial" w:cs="Arial"/>
        </w:rPr>
      </w:pPr>
      <w:r>
        <w:rPr>
          <w:rFonts w:ascii="Arial" w:hAnsi="Arial" w:cs="Arial"/>
        </w:rPr>
        <w:t>A</w:t>
      </w:r>
      <w:r w:rsidR="005E34BA" w:rsidRPr="00EC545A">
        <w:rPr>
          <w:rFonts w:ascii="Arial" w:hAnsi="Arial" w:cs="Arial"/>
        </w:rPr>
        <w:t xml:space="preserve"> prosecutor </w:t>
      </w:r>
      <w:r>
        <w:rPr>
          <w:rFonts w:ascii="Arial" w:hAnsi="Arial" w:cs="Arial"/>
        </w:rPr>
        <w:t>must</w:t>
      </w:r>
      <w:r w:rsidR="005E34BA" w:rsidRPr="00EC545A">
        <w:rPr>
          <w:rFonts w:ascii="Arial" w:hAnsi="Arial" w:cs="Arial"/>
        </w:rPr>
        <w:t xml:space="preserve"> refrain from cherry-picking </w:t>
      </w:r>
      <w:r w:rsidR="00136EF0" w:rsidRPr="00EC545A">
        <w:rPr>
          <w:rFonts w:ascii="Arial" w:hAnsi="Arial" w:cs="Arial"/>
        </w:rPr>
        <w:t xml:space="preserve">that </w:t>
      </w:r>
      <w:r w:rsidR="005E34BA" w:rsidRPr="00EC545A">
        <w:rPr>
          <w:rFonts w:ascii="Arial" w:hAnsi="Arial" w:cs="Arial"/>
        </w:rPr>
        <w:t>part of a witnesses’ evidence that is favourable to</w:t>
      </w:r>
      <w:r w:rsidR="008677D9" w:rsidRPr="00EC545A">
        <w:rPr>
          <w:rFonts w:ascii="Arial" w:hAnsi="Arial" w:cs="Arial"/>
        </w:rPr>
        <w:t xml:space="preserve"> the</w:t>
      </w:r>
      <w:r w:rsidR="005E34BA" w:rsidRPr="00EC545A">
        <w:rPr>
          <w:rFonts w:ascii="Arial" w:hAnsi="Arial" w:cs="Arial"/>
        </w:rPr>
        <w:t xml:space="preserve"> Crown’s case, and</w:t>
      </w:r>
      <w:r w:rsidR="00074F20" w:rsidRPr="00EC545A">
        <w:rPr>
          <w:rFonts w:ascii="Arial" w:hAnsi="Arial" w:cs="Arial"/>
        </w:rPr>
        <w:t xml:space="preserve"> glossing over</w:t>
      </w:r>
      <w:r w:rsidR="00136EF0" w:rsidRPr="00EC545A">
        <w:rPr>
          <w:rFonts w:ascii="Arial" w:hAnsi="Arial" w:cs="Arial"/>
        </w:rPr>
        <w:t xml:space="preserve"> that part </w:t>
      </w:r>
      <w:r w:rsidR="00074F20" w:rsidRPr="00EC545A">
        <w:rPr>
          <w:rFonts w:ascii="Arial" w:hAnsi="Arial" w:cs="Arial"/>
        </w:rPr>
        <w:t>that</w:t>
      </w:r>
      <w:r w:rsidR="00136EF0" w:rsidRPr="00EC545A">
        <w:rPr>
          <w:rFonts w:ascii="Arial" w:hAnsi="Arial" w:cs="Arial"/>
        </w:rPr>
        <w:t xml:space="preserve"> is less helpful to </w:t>
      </w:r>
      <w:r w:rsidR="00074F20" w:rsidRPr="00EC545A">
        <w:rPr>
          <w:rFonts w:ascii="Arial" w:hAnsi="Arial" w:cs="Arial"/>
        </w:rPr>
        <w:t xml:space="preserve">the prosecution </w:t>
      </w:r>
      <w:r w:rsidR="005E34BA" w:rsidRPr="00EC545A">
        <w:rPr>
          <w:rFonts w:ascii="Arial" w:hAnsi="Arial" w:cs="Arial"/>
        </w:rPr>
        <w:t>case.</w:t>
      </w:r>
      <w:r w:rsidR="005E34BA" w:rsidRPr="00EC545A">
        <w:rPr>
          <w:rStyle w:val="FootnoteReference"/>
          <w:rFonts w:ascii="Arial" w:hAnsi="Arial" w:cs="Arial"/>
        </w:rPr>
        <w:footnoteReference w:id="46"/>
      </w:r>
      <w:r w:rsidR="005E34BA" w:rsidRPr="00EC545A">
        <w:rPr>
          <w:rFonts w:ascii="Arial" w:hAnsi="Arial" w:cs="Arial"/>
        </w:rPr>
        <w:t xml:space="preserve"> </w:t>
      </w:r>
    </w:p>
    <w:p w14:paraId="67AA9CF0" w14:textId="0E669939" w:rsidR="003E0E56" w:rsidRPr="00EC545A" w:rsidRDefault="00AD2C35" w:rsidP="00BF0F10">
      <w:pPr>
        <w:rPr>
          <w:rFonts w:ascii="Arial" w:hAnsi="Arial" w:cs="Arial"/>
        </w:rPr>
      </w:pPr>
      <w:r w:rsidRPr="00EC545A">
        <w:rPr>
          <w:rFonts w:ascii="Arial" w:hAnsi="Arial" w:cs="Arial"/>
        </w:rPr>
        <w:t>However, the duty</w:t>
      </w:r>
      <w:r w:rsidR="00074F20" w:rsidRPr="00EC545A">
        <w:rPr>
          <w:rFonts w:ascii="Arial" w:hAnsi="Arial" w:cs="Arial"/>
        </w:rPr>
        <w:t xml:space="preserve"> is restricted to calling </w:t>
      </w:r>
      <w:r w:rsidRPr="00EC545A">
        <w:rPr>
          <w:rFonts w:ascii="Arial" w:hAnsi="Arial" w:cs="Arial"/>
        </w:rPr>
        <w:t xml:space="preserve">material witnesses – </w:t>
      </w:r>
      <w:r w:rsidR="0038098F">
        <w:rPr>
          <w:rFonts w:ascii="Arial" w:hAnsi="Arial" w:cs="Arial"/>
        </w:rPr>
        <w:t>witnesses</w:t>
      </w:r>
      <w:r w:rsidR="000063B3" w:rsidRPr="00EC545A">
        <w:rPr>
          <w:rFonts w:ascii="Arial" w:hAnsi="Arial" w:cs="Arial"/>
        </w:rPr>
        <w:t xml:space="preserve"> who are able to give credible evidence about matters </w:t>
      </w:r>
      <w:r w:rsidR="0038098F">
        <w:rPr>
          <w:rFonts w:ascii="Arial" w:hAnsi="Arial" w:cs="Arial"/>
        </w:rPr>
        <w:t>that are directly in issue in</w:t>
      </w:r>
      <w:r w:rsidR="000063B3" w:rsidRPr="00EC545A">
        <w:rPr>
          <w:rFonts w:ascii="Arial" w:hAnsi="Arial" w:cs="Arial"/>
        </w:rPr>
        <w:t xml:space="preserve"> the trial</w:t>
      </w:r>
      <w:r w:rsidRPr="00EC545A">
        <w:rPr>
          <w:rFonts w:ascii="Arial" w:hAnsi="Arial" w:cs="Arial"/>
        </w:rPr>
        <w:t>.</w:t>
      </w:r>
      <w:r w:rsidR="000063B3" w:rsidRPr="00EC545A">
        <w:rPr>
          <w:rStyle w:val="FootnoteReference"/>
          <w:rFonts w:ascii="Arial" w:hAnsi="Arial" w:cs="Arial"/>
        </w:rPr>
        <w:footnoteReference w:id="47"/>
      </w:r>
      <w:r w:rsidR="003B1F56" w:rsidRPr="00EC545A">
        <w:rPr>
          <w:rFonts w:ascii="Arial" w:hAnsi="Arial" w:cs="Arial"/>
        </w:rPr>
        <w:t xml:space="preserve"> </w:t>
      </w:r>
      <w:r w:rsidR="0038098F">
        <w:rPr>
          <w:rFonts w:ascii="Arial" w:hAnsi="Arial" w:cs="Arial"/>
        </w:rPr>
        <w:t>I</w:t>
      </w:r>
      <w:r w:rsidR="000063B3" w:rsidRPr="00EC545A">
        <w:rPr>
          <w:rFonts w:ascii="Arial" w:hAnsi="Arial" w:cs="Arial"/>
        </w:rPr>
        <w:t>rrelevant evidence is inadmissible at trial.</w:t>
      </w:r>
      <w:r w:rsidR="000063B3" w:rsidRPr="00EC545A">
        <w:rPr>
          <w:rStyle w:val="FootnoteReference"/>
          <w:rFonts w:ascii="Arial" w:hAnsi="Arial" w:cs="Arial"/>
        </w:rPr>
        <w:footnoteReference w:id="48"/>
      </w:r>
      <w:r w:rsidR="00074F20" w:rsidRPr="00EC545A">
        <w:rPr>
          <w:rFonts w:ascii="Arial" w:hAnsi="Arial" w:cs="Arial"/>
        </w:rPr>
        <w:t xml:space="preserve"> </w:t>
      </w:r>
      <w:r w:rsidR="003B1F56" w:rsidRPr="00EC545A">
        <w:rPr>
          <w:rFonts w:ascii="Arial" w:hAnsi="Arial" w:cs="Arial"/>
        </w:rPr>
        <w:t xml:space="preserve">More importantly, </w:t>
      </w:r>
      <w:r w:rsidR="0038098F">
        <w:rPr>
          <w:rFonts w:ascii="Arial" w:hAnsi="Arial" w:cs="Arial"/>
        </w:rPr>
        <w:t>while from a prosecution perspective</w:t>
      </w:r>
      <w:r w:rsidR="003B1F56" w:rsidRPr="00EC545A">
        <w:rPr>
          <w:rFonts w:ascii="Arial" w:hAnsi="Arial" w:cs="Arial"/>
        </w:rPr>
        <w:t xml:space="preserve"> a </w:t>
      </w:r>
      <w:r w:rsidR="007660D7" w:rsidRPr="00EC545A">
        <w:rPr>
          <w:rFonts w:ascii="Arial" w:hAnsi="Arial" w:cs="Arial"/>
        </w:rPr>
        <w:t>lengthy, unfocused trial peppered with irrelevant, repetitious or unreliable</w:t>
      </w:r>
      <w:r w:rsidR="00C335C9" w:rsidRPr="00EC545A">
        <w:rPr>
          <w:rFonts w:ascii="Arial" w:hAnsi="Arial" w:cs="Arial"/>
        </w:rPr>
        <w:t xml:space="preserve"> evidence</w:t>
      </w:r>
      <w:r w:rsidR="007660D7" w:rsidRPr="00EC545A">
        <w:rPr>
          <w:rFonts w:ascii="Arial" w:hAnsi="Arial" w:cs="Arial"/>
        </w:rPr>
        <w:t xml:space="preserve"> may be just be another day at the office</w:t>
      </w:r>
      <w:r w:rsidR="003B1F56" w:rsidRPr="00EC545A">
        <w:rPr>
          <w:rFonts w:ascii="Arial" w:hAnsi="Arial" w:cs="Arial"/>
        </w:rPr>
        <w:t>,</w:t>
      </w:r>
      <w:r w:rsidR="00074F20" w:rsidRPr="00EC545A">
        <w:rPr>
          <w:rFonts w:ascii="Arial" w:hAnsi="Arial" w:cs="Arial"/>
        </w:rPr>
        <w:t xml:space="preserve"> but</w:t>
      </w:r>
      <w:r w:rsidR="007660D7" w:rsidRPr="00EC545A">
        <w:rPr>
          <w:rFonts w:ascii="Arial" w:hAnsi="Arial" w:cs="Arial"/>
        </w:rPr>
        <w:t xml:space="preserve"> for the accused</w:t>
      </w:r>
      <w:r w:rsidR="001C4E13" w:rsidRPr="00EC545A">
        <w:rPr>
          <w:rFonts w:ascii="Arial" w:hAnsi="Arial" w:cs="Arial"/>
        </w:rPr>
        <w:t>, the victim and</w:t>
      </w:r>
      <w:r w:rsidR="00C335C9" w:rsidRPr="00EC545A">
        <w:rPr>
          <w:rFonts w:ascii="Arial" w:hAnsi="Arial" w:cs="Arial"/>
        </w:rPr>
        <w:t>,</w:t>
      </w:r>
      <w:r w:rsidR="003B1F56" w:rsidRPr="00EC545A">
        <w:rPr>
          <w:rFonts w:ascii="Arial" w:hAnsi="Arial" w:cs="Arial"/>
        </w:rPr>
        <w:t xml:space="preserve"> the </w:t>
      </w:r>
      <w:r w:rsidR="001C4E13" w:rsidRPr="00EC545A">
        <w:rPr>
          <w:rFonts w:ascii="Arial" w:hAnsi="Arial" w:cs="Arial"/>
        </w:rPr>
        <w:t xml:space="preserve">public, </w:t>
      </w:r>
      <w:r w:rsidR="007660D7" w:rsidRPr="00EC545A">
        <w:rPr>
          <w:rFonts w:ascii="Arial" w:hAnsi="Arial" w:cs="Arial"/>
        </w:rPr>
        <w:t xml:space="preserve">any unnecessary delay </w:t>
      </w:r>
      <w:r w:rsidR="001C4E13" w:rsidRPr="00EC545A">
        <w:rPr>
          <w:rFonts w:ascii="Arial" w:hAnsi="Arial" w:cs="Arial"/>
        </w:rPr>
        <w:t>or wastage means a</w:t>
      </w:r>
      <w:r w:rsidR="00074F20" w:rsidRPr="00EC545A">
        <w:rPr>
          <w:rFonts w:ascii="Arial" w:hAnsi="Arial" w:cs="Arial"/>
        </w:rPr>
        <w:t>dditional costs and further trauma</w:t>
      </w:r>
      <w:r w:rsidR="001C4E13" w:rsidRPr="00EC545A">
        <w:rPr>
          <w:rFonts w:ascii="Arial" w:hAnsi="Arial" w:cs="Arial"/>
        </w:rPr>
        <w:t>.</w:t>
      </w:r>
      <w:r w:rsidR="003B1F56" w:rsidRPr="00EC545A">
        <w:rPr>
          <w:rFonts w:ascii="Arial" w:hAnsi="Arial" w:cs="Arial"/>
        </w:rPr>
        <w:t xml:space="preserve"> </w:t>
      </w:r>
    </w:p>
    <w:p w14:paraId="5C57C522" w14:textId="06BB2E7A" w:rsidR="00C335C9" w:rsidRPr="00EC545A" w:rsidRDefault="00B0738B" w:rsidP="00BF0F10">
      <w:pPr>
        <w:rPr>
          <w:rFonts w:ascii="Arial" w:hAnsi="Arial" w:cs="Arial"/>
          <w:b/>
        </w:rPr>
      </w:pPr>
      <w:r w:rsidRPr="00EC545A">
        <w:rPr>
          <w:rFonts w:ascii="Arial" w:hAnsi="Arial" w:cs="Arial"/>
          <w:b/>
        </w:rPr>
        <w:t>Human frailty, discretion and the public interest</w:t>
      </w:r>
    </w:p>
    <w:p w14:paraId="6B5A7805" w14:textId="276CFAE5" w:rsidR="001F36E1" w:rsidRPr="00EC545A" w:rsidRDefault="003B1F56" w:rsidP="00BF0F10">
      <w:pPr>
        <w:rPr>
          <w:rFonts w:ascii="Arial" w:hAnsi="Arial" w:cs="Arial"/>
        </w:rPr>
      </w:pPr>
      <w:r w:rsidRPr="00EC545A">
        <w:rPr>
          <w:rFonts w:ascii="Arial" w:hAnsi="Arial" w:cs="Arial"/>
        </w:rPr>
        <w:t>Perhaps the</w:t>
      </w:r>
      <w:r w:rsidR="00C335C9" w:rsidRPr="00EC545A">
        <w:rPr>
          <w:rFonts w:ascii="Arial" w:hAnsi="Arial" w:cs="Arial"/>
        </w:rPr>
        <w:t xml:space="preserve"> ‘mini</w:t>
      </w:r>
      <w:r w:rsidRPr="00EC545A">
        <w:rPr>
          <w:rFonts w:ascii="Arial" w:hAnsi="Arial" w:cs="Arial"/>
        </w:rPr>
        <w:t>stry</w:t>
      </w:r>
      <w:r w:rsidR="00B76975" w:rsidRPr="00EC545A">
        <w:rPr>
          <w:rFonts w:ascii="Arial" w:hAnsi="Arial" w:cs="Arial"/>
        </w:rPr>
        <w:t xml:space="preserve"> </w:t>
      </w:r>
      <w:r w:rsidR="00060FBF" w:rsidRPr="00EC545A">
        <w:rPr>
          <w:rFonts w:ascii="Arial" w:hAnsi="Arial" w:cs="Arial"/>
        </w:rPr>
        <w:t>of</w:t>
      </w:r>
      <w:r w:rsidR="00B76975" w:rsidRPr="00EC545A">
        <w:rPr>
          <w:rFonts w:ascii="Arial" w:hAnsi="Arial" w:cs="Arial"/>
        </w:rPr>
        <w:t xml:space="preserve"> justice’</w:t>
      </w:r>
      <w:r w:rsidRPr="00EC545A">
        <w:rPr>
          <w:rFonts w:ascii="Arial" w:hAnsi="Arial" w:cs="Arial"/>
        </w:rPr>
        <w:t xml:space="preserve"> should not be left to </w:t>
      </w:r>
      <w:r w:rsidR="0038098F">
        <w:rPr>
          <w:rFonts w:ascii="Arial" w:hAnsi="Arial" w:cs="Arial"/>
        </w:rPr>
        <w:t xml:space="preserve">frail mortals, whose </w:t>
      </w:r>
      <w:r w:rsidR="001F36E1" w:rsidRPr="00EC545A">
        <w:rPr>
          <w:rFonts w:ascii="Arial" w:hAnsi="Arial" w:cs="Arial"/>
        </w:rPr>
        <w:t xml:space="preserve">judgement is inevitably affected by unconscious bias, caffeine addiction, and late nights </w:t>
      </w:r>
      <w:r w:rsidR="0038098F">
        <w:rPr>
          <w:rFonts w:ascii="Arial" w:hAnsi="Arial" w:cs="Arial"/>
        </w:rPr>
        <w:t>attending to</w:t>
      </w:r>
      <w:r w:rsidR="001F36E1" w:rsidRPr="00EC545A">
        <w:rPr>
          <w:rFonts w:ascii="Arial" w:hAnsi="Arial" w:cs="Arial"/>
        </w:rPr>
        <w:t xml:space="preserve"> sick children. </w:t>
      </w:r>
    </w:p>
    <w:p w14:paraId="2E32807F" w14:textId="4FF92D8B" w:rsidR="00C335C9" w:rsidRPr="00EC545A" w:rsidRDefault="001F36E1" w:rsidP="00BF0F10">
      <w:pPr>
        <w:rPr>
          <w:rFonts w:ascii="Arial" w:hAnsi="Arial" w:cs="Arial"/>
        </w:rPr>
      </w:pPr>
      <w:r w:rsidRPr="00EC545A">
        <w:rPr>
          <w:rFonts w:ascii="Arial" w:hAnsi="Arial" w:cs="Arial"/>
        </w:rPr>
        <w:t xml:space="preserve">Is there </w:t>
      </w:r>
      <w:r w:rsidR="00B70E61" w:rsidRPr="00EC545A">
        <w:rPr>
          <w:rFonts w:ascii="Arial" w:hAnsi="Arial" w:cs="Arial"/>
        </w:rPr>
        <w:t>a place</w:t>
      </w:r>
      <w:r w:rsidR="00C335C9" w:rsidRPr="00EC545A">
        <w:rPr>
          <w:rFonts w:ascii="Arial" w:hAnsi="Arial" w:cs="Arial"/>
        </w:rPr>
        <w:t xml:space="preserve"> for non-human prosecution in our legal system?</w:t>
      </w:r>
      <w:r w:rsidRPr="00EC545A">
        <w:rPr>
          <w:rFonts w:ascii="Arial" w:hAnsi="Arial" w:cs="Arial"/>
        </w:rPr>
        <w:t xml:space="preserve"> It would certainly bring greater objectivity to the prosecution process.</w:t>
      </w:r>
    </w:p>
    <w:p w14:paraId="471C0E79" w14:textId="77777777" w:rsidR="00057063" w:rsidRPr="00EC545A" w:rsidRDefault="001F36E1" w:rsidP="00057063">
      <w:pPr>
        <w:rPr>
          <w:rFonts w:ascii="Arial" w:hAnsi="Arial" w:cs="Arial"/>
        </w:rPr>
      </w:pPr>
      <w:r w:rsidRPr="00EC545A">
        <w:rPr>
          <w:rFonts w:ascii="Arial" w:hAnsi="Arial" w:cs="Arial"/>
        </w:rPr>
        <w:t xml:space="preserve">This is not a dystopian dream but a reality in China. Currently, three Chinese provinces </w:t>
      </w:r>
      <w:r w:rsidR="00C335C9" w:rsidRPr="00EC545A">
        <w:rPr>
          <w:rFonts w:ascii="Arial" w:hAnsi="Arial" w:cs="Arial"/>
        </w:rPr>
        <w:t>deploy legal</w:t>
      </w:r>
      <w:r w:rsidR="00373603" w:rsidRPr="00EC545A">
        <w:rPr>
          <w:rFonts w:ascii="Arial" w:hAnsi="Arial" w:cs="Arial"/>
        </w:rPr>
        <w:t xml:space="preserve"> ‘case management’</w:t>
      </w:r>
      <w:r w:rsidR="00C335C9" w:rsidRPr="00EC545A">
        <w:rPr>
          <w:rFonts w:ascii="Arial" w:hAnsi="Arial" w:cs="Arial"/>
        </w:rPr>
        <w:t xml:space="preserve"> robots</w:t>
      </w:r>
      <w:r w:rsidR="00373603" w:rsidRPr="00EC545A">
        <w:rPr>
          <w:rFonts w:ascii="Arial" w:hAnsi="Arial" w:cs="Arial"/>
        </w:rPr>
        <w:t xml:space="preserve"> t</w:t>
      </w:r>
      <w:r w:rsidRPr="00EC545A">
        <w:rPr>
          <w:rFonts w:ascii="Arial" w:hAnsi="Arial" w:cs="Arial"/>
        </w:rPr>
        <w:t>o</w:t>
      </w:r>
      <w:r w:rsidR="00373603" w:rsidRPr="00EC545A">
        <w:rPr>
          <w:rFonts w:ascii="Arial" w:hAnsi="Arial" w:cs="Arial"/>
        </w:rPr>
        <w:t xml:space="preserve"> review cases, check facts, offer sentencing opinions, generate arrest warrants, and approve indictments in simple cases, almost halving the time spent by prosecutors </w:t>
      </w:r>
      <w:r w:rsidR="009F1C94" w:rsidRPr="00EC545A">
        <w:rPr>
          <w:rFonts w:ascii="Arial" w:hAnsi="Arial" w:cs="Arial"/>
        </w:rPr>
        <w:t xml:space="preserve">reviewing evidence </w:t>
      </w:r>
      <w:r w:rsidR="00373603" w:rsidRPr="00EC545A">
        <w:rPr>
          <w:rFonts w:ascii="Arial" w:hAnsi="Arial" w:cs="Arial"/>
        </w:rPr>
        <w:t xml:space="preserve">in </w:t>
      </w:r>
      <w:r w:rsidR="006E3452" w:rsidRPr="00EC545A">
        <w:rPr>
          <w:rFonts w:ascii="Arial" w:hAnsi="Arial" w:cs="Arial"/>
        </w:rPr>
        <w:t>one</w:t>
      </w:r>
      <w:r w:rsidR="00373603" w:rsidRPr="00EC545A">
        <w:rPr>
          <w:rFonts w:ascii="Arial" w:hAnsi="Arial" w:cs="Arial"/>
        </w:rPr>
        <w:t> municipality.</w:t>
      </w:r>
      <w:r w:rsidR="00373603" w:rsidRPr="00EC545A">
        <w:rPr>
          <w:rStyle w:val="FootnoteReference"/>
          <w:rFonts w:ascii="Arial" w:hAnsi="Arial" w:cs="Arial"/>
        </w:rPr>
        <w:footnoteReference w:id="49"/>
      </w:r>
      <w:r w:rsidR="006E3452" w:rsidRPr="00EC545A">
        <w:rPr>
          <w:rFonts w:ascii="Arial" w:hAnsi="Arial" w:cs="Arial"/>
        </w:rPr>
        <w:t xml:space="preserve"> </w:t>
      </w:r>
    </w:p>
    <w:p w14:paraId="62784520" w14:textId="2C45BEB4" w:rsidR="009F1C94" w:rsidRPr="00EC545A" w:rsidRDefault="00057063">
      <w:pPr>
        <w:rPr>
          <w:rFonts w:ascii="Arial" w:hAnsi="Arial" w:cs="Arial"/>
        </w:rPr>
      </w:pPr>
      <w:r w:rsidRPr="00EC545A">
        <w:rPr>
          <w:rFonts w:ascii="Arial" w:hAnsi="Arial" w:cs="Arial"/>
        </w:rPr>
        <w:t>I think that your jobs are safe for now. I’m not sure that Australians will want to emulate a criminal justice process that boasts a 99 per cent conviction rate.</w:t>
      </w:r>
      <w:r w:rsidRPr="00EC545A">
        <w:rPr>
          <w:rFonts w:ascii="Arial" w:hAnsi="Arial" w:cs="Arial"/>
          <w:vertAlign w:val="superscript"/>
        </w:rPr>
        <w:footnoteReference w:id="50"/>
      </w:r>
      <w:r w:rsidRPr="00EC545A">
        <w:rPr>
          <w:rFonts w:ascii="Arial" w:hAnsi="Arial" w:cs="Arial"/>
        </w:rPr>
        <w:t xml:space="preserve"> In any event, I doubt that Australian robots are up to determining the public interest on a case-by-case basis, while exercising appropriate compassion and having regard to contemporary community standards. </w:t>
      </w:r>
    </w:p>
    <w:p w14:paraId="37D20BCD" w14:textId="6543454B" w:rsidR="00057063" w:rsidRPr="00EC545A" w:rsidRDefault="00057063" w:rsidP="00057063">
      <w:pPr>
        <w:rPr>
          <w:rFonts w:ascii="Arial" w:hAnsi="Arial" w:cs="Arial"/>
        </w:rPr>
      </w:pPr>
      <w:r w:rsidRPr="00EC545A">
        <w:rPr>
          <w:rFonts w:ascii="Arial" w:hAnsi="Arial" w:cs="Arial"/>
        </w:rPr>
        <w:t>In our system, it may not be in the public interest to prosecute all criminal acts, whether for economic, compassionate or social justice reasons.</w:t>
      </w:r>
      <w:r w:rsidR="00EC545A">
        <w:rPr>
          <w:rFonts w:ascii="Arial" w:hAnsi="Arial" w:cs="Arial"/>
        </w:rPr>
        <w:t xml:space="preserve"> </w:t>
      </w:r>
      <w:r w:rsidRPr="00EC545A">
        <w:rPr>
          <w:rFonts w:ascii="Arial" w:hAnsi="Arial" w:cs="Arial"/>
        </w:rPr>
        <w:t xml:space="preserve">Prosecutors must exercise a very human discretion when deciding whether it is in the public interest to prosecute, what charge should be laid and whether to accept a plea to a lesser charge. </w:t>
      </w:r>
    </w:p>
    <w:p w14:paraId="25FFF067" w14:textId="77777777" w:rsidR="003B3489" w:rsidRPr="00EC545A" w:rsidRDefault="003B3489" w:rsidP="003B3489">
      <w:pPr>
        <w:rPr>
          <w:rFonts w:ascii="Arial" w:hAnsi="Arial" w:cs="Arial"/>
        </w:rPr>
      </w:pPr>
      <w:r w:rsidRPr="00EC545A">
        <w:rPr>
          <w:rFonts w:ascii="Arial" w:hAnsi="Arial" w:cs="Arial"/>
        </w:rPr>
        <w:t xml:space="preserve">As Sir Keir </w:t>
      </w:r>
      <w:proofErr w:type="spellStart"/>
      <w:r w:rsidRPr="00EC545A">
        <w:rPr>
          <w:rFonts w:ascii="Arial" w:hAnsi="Arial" w:cs="Arial"/>
        </w:rPr>
        <w:t>Starmer</w:t>
      </w:r>
      <w:proofErr w:type="spellEnd"/>
      <w:r w:rsidRPr="00EC545A">
        <w:rPr>
          <w:rFonts w:ascii="Arial" w:hAnsi="Arial" w:cs="Arial"/>
        </w:rPr>
        <w:t xml:space="preserve"> QC MP, former DPP of the UK, remarked:</w:t>
      </w:r>
    </w:p>
    <w:p w14:paraId="09C6ADA3" w14:textId="0F2B8AEB" w:rsidR="003B3489" w:rsidRPr="00EC545A" w:rsidRDefault="003B3489" w:rsidP="003B3489">
      <w:pPr>
        <w:ind w:left="720"/>
        <w:rPr>
          <w:rFonts w:ascii="Arial" w:hAnsi="Arial" w:cs="Arial"/>
          <w:sz w:val="20"/>
        </w:rPr>
      </w:pPr>
      <w:r w:rsidRPr="00EC545A">
        <w:rPr>
          <w:rFonts w:ascii="Arial" w:hAnsi="Arial" w:cs="Arial"/>
          <w:iCs/>
          <w:sz w:val="20"/>
        </w:rPr>
        <w:t>Prosecutorial discretion is a good thing. It takes the edges off blunt criminal laws; it prevents injustice; it provides for compliance with international obligations; and it allows compassion to play its rightful part in the criminal justice response to wrongdoing. The blunt instruments that criminal law statutes necessarily have to be can be honed into compassionate and appropriate casework decisions by the exercise of the public interest discretion.</w:t>
      </w:r>
      <w:r w:rsidRPr="00EC545A">
        <w:rPr>
          <w:rStyle w:val="FootnoteReference"/>
          <w:rFonts w:ascii="Arial" w:hAnsi="Arial" w:cs="Arial"/>
          <w:sz w:val="20"/>
        </w:rPr>
        <w:footnoteReference w:id="51"/>
      </w:r>
    </w:p>
    <w:p w14:paraId="7EADD945" w14:textId="0DE254B1" w:rsidR="003616CB" w:rsidRPr="00EC545A" w:rsidRDefault="006A4427" w:rsidP="003616CB">
      <w:pPr>
        <w:rPr>
          <w:rFonts w:ascii="Arial" w:hAnsi="Arial" w:cs="Arial"/>
        </w:rPr>
      </w:pPr>
      <w:r w:rsidRPr="00EC545A">
        <w:rPr>
          <w:rFonts w:ascii="Arial" w:hAnsi="Arial" w:cs="Arial"/>
        </w:rPr>
        <w:t>The p</w:t>
      </w:r>
      <w:r w:rsidR="003616CB" w:rsidRPr="00EC545A">
        <w:rPr>
          <w:rFonts w:ascii="Arial" w:hAnsi="Arial" w:cs="Arial"/>
        </w:rPr>
        <w:t>ublic interest is not stagnant; it changes over time.</w:t>
      </w:r>
      <w:r w:rsidR="003B3489" w:rsidRPr="00EC545A">
        <w:rPr>
          <w:rFonts w:ascii="Arial" w:hAnsi="Arial" w:cs="Arial"/>
        </w:rPr>
        <w:t xml:space="preserve"> The legislature may be slow to </w:t>
      </w:r>
      <w:r w:rsidRPr="00EC545A">
        <w:rPr>
          <w:rFonts w:ascii="Arial" w:hAnsi="Arial" w:cs="Arial"/>
        </w:rPr>
        <w:t>adopt evolving</w:t>
      </w:r>
      <w:r w:rsidR="003B3489" w:rsidRPr="00EC545A">
        <w:rPr>
          <w:rFonts w:ascii="Arial" w:hAnsi="Arial" w:cs="Arial"/>
        </w:rPr>
        <w:t xml:space="preserve"> community attitudes, leaving the DPP to make what may be controversial decisions. Take the laws that criminalised consensual sexual intercourse between males; for many years no prosecutions were brought although the laws still stood.</w:t>
      </w:r>
    </w:p>
    <w:p w14:paraId="68C273AA" w14:textId="3DC7DF4B" w:rsidR="00370737" w:rsidRPr="00EC545A" w:rsidRDefault="003616CB" w:rsidP="00455F3F">
      <w:pPr>
        <w:rPr>
          <w:rFonts w:ascii="Arial" w:hAnsi="Arial" w:cs="Arial"/>
        </w:rPr>
      </w:pPr>
      <w:r w:rsidRPr="00EC545A">
        <w:rPr>
          <w:rFonts w:ascii="Arial" w:hAnsi="Arial" w:cs="Arial"/>
        </w:rPr>
        <w:t>A contemporary issue where the criminal law collides with the need for compassion</w:t>
      </w:r>
      <w:r w:rsidR="006A4427" w:rsidRPr="00EC545A">
        <w:rPr>
          <w:rFonts w:ascii="Arial" w:hAnsi="Arial" w:cs="Arial"/>
        </w:rPr>
        <w:t xml:space="preserve"> and the a</w:t>
      </w:r>
      <w:r w:rsidR="00321243">
        <w:rPr>
          <w:rFonts w:ascii="Arial" w:hAnsi="Arial" w:cs="Arial"/>
        </w:rPr>
        <w:t xml:space="preserve">ttitudes of many – but not all – </w:t>
      </w:r>
      <w:r w:rsidR="002456FB" w:rsidRPr="00EC545A">
        <w:rPr>
          <w:rFonts w:ascii="Arial" w:hAnsi="Arial" w:cs="Arial"/>
        </w:rPr>
        <w:t>is voluntary assisted</w:t>
      </w:r>
      <w:r w:rsidR="00CC11CB" w:rsidRPr="00EC545A">
        <w:rPr>
          <w:rFonts w:ascii="Arial" w:hAnsi="Arial" w:cs="Arial"/>
        </w:rPr>
        <w:t xml:space="preserve"> dying or</w:t>
      </w:r>
      <w:r w:rsidR="002456FB" w:rsidRPr="00EC545A">
        <w:rPr>
          <w:rFonts w:ascii="Arial" w:hAnsi="Arial" w:cs="Arial"/>
        </w:rPr>
        <w:t xml:space="preserve"> euthanasia. </w:t>
      </w:r>
      <w:r w:rsidRPr="00EC545A">
        <w:rPr>
          <w:rFonts w:ascii="Arial" w:hAnsi="Arial" w:cs="Arial"/>
        </w:rPr>
        <w:t>In t</w:t>
      </w:r>
      <w:r w:rsidR="002456FB" w:rsidRPr="00EC545A">
        <w:rPr>
          <w:rFonts w:ascii="Arial" w:hAnsi="Arial" w:cs="Arial"/>
        </w:rPr>
        <w:t>he</w:t>
      </w:r>
      <w:r w:rsidRPr="00EC545A">
        <w:rPr>
          <w:rFonts w:ascii="Arial" w:hAnsi="Arial" w:cs="Arial"/>
        </w:rPr>
        <w:t xml:space="preserve"> United Kingdom</w:t>
      </w:r>
      <w:r w:rsidR="002456FB" w:rsidRPr="00EC545A">
        <w:rPr>
          <w:rFonts w:ascii="Arial" w:hAnsi="Arial" w:cs="Arial"/>
        </w:rPr>
        <w:t>,</w:t>
      </w:r>
      <w:r w:rsidRPr="00EC545A">
        <w:rPr>
          <w:rFonts w:ascii="Arial" w:hAnsi="Arial" w:cs="Arial"/>
        </w:rPr>
        <w:t xml:space="preserve"> the </w:t>
      </w:r>
      <w:r w:rsidR="003F6F49">
        <w:rPr>
          <w:rFonts w:ascii="Arial" w:hAnsi="Arial" w:cs="Arial"/>
        </w:rPr>
        <w:t>issue</w:t>
      </w:r>
      <w:r w:rsidRPr="00EC545A">
        <w:rPr>
          <w:rFonts w:ascii="Arial" w:hAnsi="Arial" w:cs="Arial"/>
        </w:rPr>
        <w:t xml:space="preserve"> arose in </w:t>
      </w:r>
      <w:r w:rsidR="002456FB" w:rsidRPr="00EC545A">
        <w:rPr>
          <w:rFonts w:ascii="Arial" w:hAnsi="Arial" w:cs="Arial"/>
        </w:rPr>
        <w:t xml:space="preserve">the </w:t>
      </w:r>
      <w:r w:rsidR="002456FB" w:rsidRPr="00EC545A">
        <w:rPr>
          <w:rFonts w:ascii="Arial" w:hAnsi="Arial" w:cs="Arial"/>
          <w:i/>
        </w:rPr>
        <w:t>Purdy</w:t>
      </w:r>
      <w:r w:rsidR="003E6C72" w:rsidRPr="00EC545A">
        <w:rPr>
          <w:rFonts w:ascii="Arial" w:hAnsi="Arial" w:cs="Arial"/>
        </w:rPr>
        <w:t xml:space="preserve"> case.</w:t>
      </w:r>
      <w:r w:rsidR="00AC7790" w:rsidRPr="00EC545A">
        <w:rPr>
          <w:rStyle w:val="FootnoteReference"/>
          <w:rFonts w:ascii="Arial" w:hAnsi="Arial" w:cs="Arial"/>
        </w:rPr>
        <w:footnoteReference w:id="52"/>
      </w:r>
      <w:r w:rsidRPr="00EC545A">
        <w:rPr>
          <w:rFonts w:ascii="Arial" w:hAnsi="Arial" w:cs="Arial"/>
        </w:rPr>
        <w:t xml:space="preserve"> Ms Purdy</w:t>
      </w:r>
      <w:r w:rsidR="002456FB" w:rsidRPr="00EC545A">
        <w:rPr>
          <w:rFonts w:ascii="Arial" w:hAnsi="Arial" w:cs="Arial"/>
        </w:rPr>
        <w:t xml:space="preserve"> s</w:t>
      </w:r>
      <w:r w:rsidRPr="00EC545A">
        <w:rPr>
          <w:rFonts w:ascii="Arial" w:hAnsi="Arial" w:cs="Arial"/>
        </w:rPr>
        <w:t>uffered from multiple sclerosis.</w:t>
      </w:r>
      <w:r w:rsidR="00EC545A">
        <w:rPr>
          <w:rFonts w:ascii="Arial" w:hAnsi="Arial" w:cs="Arial"/>
        </w:rPr>
        <w:t xml:space="preserve"> </w:t>
      </w:r>
      <w:r w:rsidRPr="00EC545A">
        <w:rPr>
          <w:rFonts w:ascii="Arial" w:hAnsi="Arial" w:cs="Arial"/>
        </w:rPr>
        <w:t>She</w:t>
      </w:r>
      <w:r w:rsidR="002456FB" w:rsidRPr="00EC545A">
        <w:rPr>
          <w:rFonts w:ascii="Arial" w:hAnsi="Arial" w:cs="Arial"/>
        </w:rPr>
        <w:t xml:space="preserve"> asked the DPP for an assurance</w:t>
      </w:r>
      <w:r w:rsidR="00DC5564" w:rsidRPr="00EC545A">
        <w:rPr>
          <w:rFonts w:ascii="Arial" w:hAnsi="Arial" w:cs="Arial"/>
        </w:rPr>
        <w:t xml:space="preserve"> </w:t>
      </w:r>
      <w:r w:rsidR="00AC7790" w:rsidRPr="00EC545A">
        <w:rPr>
          <w:rFonts w:ascii="Arial" w:hAnsi="Arial" w:cs="Arial"/>
        </w:rPr>
        <w:t>that her husband would not be prosecuted</w:t>
      </w:r>
      <w:r w:rsidRPr="00EC545A">
        <w:rPr>
          <w:rFonts w:ascii="Arial" w:hAnsi="Arial" w:cs="Arial"/>
        </w:rPr>
        <w:t xml:space="preserve"> if he assisted her to travel</w:t>
      </w:r>
      <w:r w:rsidR="00CC11CB" w:rsidRPr="00EC545A">
        <w:rPr>
          <w:rFonts w:ascii="Arial" w:hAnsi="Arial" w:cs="Arial"/>
        </w:rPr>
        <w:t xml:space="preserve"> to Switzerland to end her life</w:t>
      </w:r>
      <w:r w:rsidRPr="00EC545A">
        <w:rPr>
          <w:rFonts w:ascii="Arial" w:hAnsi="Arial" w:cs="Arial"/>
        </w:rPr>
        <w:t xml:space="preserve">. Failing that, she sought </w:t>
      </w:r>
      <w:r w:rsidR="00CC11CB" w:rsidRPr="00EC545A">
        <w:rPr>
          <w:rFonts w:ascii="Arial" w:hAnsi="Arial" w:cs="Arial"/>
        </w:rPr>
        <w:t xml:space="preserve">the </w:t>
      </w:r>
      <w:r w:rsidRPr="00EC545A">
        <w:rPr>
          <w:rFonts w:ascii="Arial" w:hAnsi="Arial" w:cs="Arial"/>
        </w:rPr>
        <w:t xml:space="preserve">DPP’s </w:t>
      </w:r>
      <w:r w:rsidR="00AC7790" w:rsidRPr="00EC545A">
        <w:rPr>
          <w:rFonts w:ascii="Arial" w:hAnsi="Arial" w:cs="Arial"/>
        </w:rPr>
        <w:t>policy</w:t>
      </w:r>
      <w:r w:rsidR="0017632D" w:rsidRPr="00EC545A">
        <w:rPr>
          <w:rFonts w:ascii="Arial" w:hAnsi="Arial" w:cs="Arial"/>
        </w:rPr>
        <w:t xml:space="preserve"> on whether the DPP would prosecute </w:t>
      </w:r>
      <w:r w:rsidR="00AC7790" w:rsidRPr="00EC545A">
        <w:rPr>
          <w:rFonts w:ascii="Arial" w:hAnsi="Arial" w:cs="Arial"/>
        </w:rPr>
        <w:t xml:space="preserve">her husband under the </w:t>
      </w:r>
      <w:r w:rsidR="00AC7790" w:rsidRPr="00EC545A">
        <w:rPr>
          <w:rFonts w:ascii="Arial" w:hAnsi="Arial" w:cs="Arial"/>
          <w:i/>
        </w:rPr>
        <w:t>Suicide Act</w:t>
      </w:r>
      <w:r w:rsidR="00057063" w:rsidRPr="00EC545A">
        <w:rPr>
          <w:rFonts w:ascii="Arial" w:hAnsi="Arial" w:cs="Arial"/>
        </w:rPr>
        <w:t>,</w:t>
      </w:r>
      <w:r w:rsidR="00057063" w:rsidRPr="00EC545A">
        <w:rPr>
          <w:rStyle w:val="FootnoteReference"/>
          <w:rFonts w:ascii="Arial" w:hAnsi="Arial" w:cs="Arial"/>
        </w:rPr>
        <w:footnoteReference w:id="53"/>
      </w:r>
      <w:r w:rsidR="00057063" w:rsidRPr="00EC545A">
        <w:rPr>
          <w:rFonts w:ascii="Arial" w:hAnsi="Arial" w:cs="Arial"/>
        </w:rPr>
        <w:t xml:space="preserve"> so that she could work out whether her husband was likely to be prosecuted.</w:t>
      </w:r>
      <w:r w:rsidR="00FB6A07" w:rsidRPr="00EC545A">
        <w:rPr>
          <w:rFonts w:ascii="Arial" w:hAnsi="Arial" w:cs="Arial"/>
        </w:rPr>
        <w:t xml:space="preserve"> </w:t>
      </w:r>
      <w:r w:rsidR="00DC5564" w:rsidRPr="00EC545A">
        <w:rPr>
          <w:rFonts w:ascii="Arial" w:hAnsi="Arial" w:cs="Arial"/>
        </w:rPr>
        <w:t xml:space="preserve">The </w:t>
      </w:r>
      <w:r w:rsidR="00AC7790" w:rsidRPr="00EC545A">
        <w:rPr>
          <w:rFonts w:ascii="Arial" w:hAnsi="Arial" w:cs="Arial"/>
        </w:rPr>
        <w:t>House of Lords</w:t>
      </w:r>
      <w:r w:rsidR="00DC5564" w:rsidRPr="00EC545A">
        <w:rPr>
          <w:rFonts w:ascii="Arial" w:hAnsi="Arial" w:cs="Arial"/>
        </w:rPr>
        <w:t xml:space="preserve"> ruled</w:t>
      </w:r>
      <w:r w:rsidR="00745FF2" w:rsidRPr="00EC545A">
        <w:rPr>
          <w:rFonts w:ascii="Arial" w:hAnsi="Arial" w:cs="Arial"/>
        </w:rPr>
        <w:t xml:space="preserve"> in Ms Purdy’s favour</w:t>
      </w:r>
      <w:r w:rsidR="0017632D" w:rsidRPr="00EC545A">
        <w:rPr>
          <w:rFonts w:ascii="Arial" w:hAnsi="Arial" w:cs="Arial"/>
        </w:rPr>
        <w:t xml:space="preserve">, finding that, on human rights grounds, </w:t>
      </w:r>
      <w:r w:rsidR="00745FF2" w:rsidRPr="00EC545A">
        <w:rPr>
          <w:rFonts w:ascii="Arial" w:hAnsi="Arial" w:cs="Arial"/>
        </w:rPr>
        <w:t xml:space="preserve">the DPP had to </w:t>
      </w:r>
      <w:r w:rsidR="0017632D" w:rsidRPr="00EC545A">
        <w:rPr>
          <w:rFonts w:ascii="Arial" w:hAnsi="Arial" w:cs="Arial"/>
        </w:rPr>
        <w:t>state their policy in relation to prosecuting in cases of euthanasia</w:t>
      </w:r>
      <w:r w:rsidR="00DC5564" w:rsidRPr="00EC545A">
        <w:rPr>
          <w:rFonts w:ascii="Arial" w:hAnsi="Arial" w:cs="Arial"/>
        </w:rPr>
        <w:t xml:space="preserve">. </w:t>
      </w:r>
    </w:p>
    <w:p w14:paraId="5AE45517" w14:textId="67CE2482" w:rsidR="00370737" w:rsidRPr="00EC545A" w:rsidRDefault="006A4427" w:rsidP="00455F3F">
      <w:pPr>
        <w:rPr>
          <w:rFonts w:ascii="Arial" w:hAnsi="Arial" w:cs="Arial"/>
        </w:rPr>
      </w:pPr>
      <w:r w:rsidRPr="00EC545A">
        <w:rPr>
          <w:rFonts w:ascii="Arial" w:hAnsi="Arial" w:cs="Arial"/>
        </w:rPr>
        <w:t>Recently,</w:t>
      </w:r>
      <w:r w:rsidR="0017632D" w:rsidRPr="00EC545A">
        <w:rPr>
          <w:rFonts w:ascii="Arial" w:hAnsi="Arial" w:cs="Arial"/>
        </w:rPr>
        <w:t xml:space="preserve"> your Director decided not to </w:t>
      </w:r>
      <w:r w:rsidR="00DC5564" w:rsidRPr="00EC545A">
        <w:rPr>
          <w:rFonts w:ascii="Arial" w:hAnsi="Arial" w:cs="Arial"/>
        </w:rPr>
        <w:t xml:space="preserve">prosecute </w:t>
      </w:r>
      <w:r w:rsidR="00237A62" w:rsidRPr="00EC545A">
        <w:rPr>
          <w:rFonts w:ascii="Arial" w:hAnsi="Arial" w:cs="Arial"/>
        </w:rPr>
        <w:t xml:space="preserve">a </w:t>
      </w:r>
      <w:r w:rsidR="00DC5564" w:rsidRPr="00EC545A">
        <w:rPr>
          <w:rFonts w:ascii="Arial" w:hAnsi="Arial" w:cs="Arial"/>
        </w:rPr>
        <w:t>euthanasia homicide.</w:t>
      </w:r>
      <w:r w:rsidR="00DC5564" w:rsidRPr="00EC545A">
        <w:rPr>
          <w:rStyle w:val="FootnoteReference"/>
          <w:rFonts w:ascii="Arial" w:hAnsi="Arial" w:cs="Arial"/>
        </w:rPr>
        <w:footnoteReference w:id="54"/>
      </w:r>
      <w:r w:rsidR="008C3B12" w:rsidRPr="00EC545A">
        <w:rPr>
          <w:rFonts w:ascii="Arial" w:hAnsi="Arial" w:cs="Arial"/>
        </w:rPr>
        <w:t xml:space="preserve"> </w:t>
      </w:r>
      <w:r w:rsidR="00370737" w:rsidRPr="00EC545A">
        <w:rPr>
          <w:rFonts w:ascii="Arial" w:hAnsi="Arial" w:cs="Arial"/>
        </w:rPr>
        <w:t>In</w:t>
      </w:r>
      <w:r w:rsidR="0017632D" w:rsidRPr="00EC545A">
        <w:rPr>
          <w:rFonts w:ascii="Arial" w:hAnsi="Arial" w:cs="Arial"/>
        </w:rPr>
        <w:t xml:space="preserve"> his </w:t>
      </w:r>
      <w:r w:rsidR="00052B00" w:rsidRPr="00EC545A">
        <w:rPr>
          <w:rFonts w:ascii="Arial" w:hAnsi="Arial" w:cs="Arial"/>
        </w:rPr>
        <w:t xml:space="preserve">statement of reasons, he </w:t>
      </w:r>
      <w:r w:rsidR="00370737" w:rsidRPr="00EC545A">
        <w:rPr>
          <w:rFonts w:ascii="Arial" w:hAnsi="Arial" w:cs="Arial"/>
        </w:rPr>
        <w:t xml:space="preserve">referred to </w:t>
      </w:r>
      <w:r w:rsidR="00CB4C9E" w:rsidRPr="00EC545A">
        <w:rPr>
          <w:rFonts w:ascii="Arial" w:hAnsi="Arial" w:cs="Arial"/>
        </w:rPr>
        <w:t>UK policy and an Australian paper on ‘Prosecutorial guidelines for voluntary euthanasia a</w:t>
      </w:r>
      <w:r w:rsidRPr="00EC545A">
        <w:rPr>
          <w:rFonts w:ascii="Arial" w:hAnsi="Arial" w:cs="Arial"/>
        </w:rPr>
        <w:t xml:space="preserve">nd assisted suicide’, </w:t>
      </w:r>
      <w:r w:rsidR="00057063" w:rsidRPr="00EC545A">
        <w:rPr>
          <w:rFonts w:ascii="Arial" w:hAnsi="Arial" w:cs="Arial"/>
        </w:rPr>
        <w:t>and stated</w:t>
      </w:r>
      <w:r w:rsidR="00CB4C9E" w:rsidRPr="00EC545A">
        <w:rPr>
          <w:rFonts w:ascii="Arial" w:hAnsi="Arial" w:cs="Arial"/>
        </w:rPr>
        <w:t>:</w:t>
      </w:r>
    </w:p>
    <w:p w14:paraId="1AD79887" w14:textId="4E3B65AC" w:rsidR="00CB4C9E" w:rsidRPr="00EC545A" w:rsidRDefault="00CB4C9E" w:rsidP="00CB4C9E">
      <w:pPr>
        <w:ind w:left="720"/>
        <w:rPr>
          <w:rFonts w:ascii="Arial" w:hAnsi="Arial" w:cs="Arial"/>
          <w:sz w:val="20"/>
        </w:rPr>
      </w:pPr>
      <w:r w:rsidRPr="00EC545A">
        <w:rPr>
          <w:rFonts w:ascii="Arial" w:hAnsi="Arial" w:cs="Arial"/>
          <w:sz w:val="20"/>
        </w:rPr>
        <w:t>I do not formally adopt either of these</w:t>
      </w:r>
      <w:r w:rsidR="00637460" w:rsidRPr="00EC545A">
        <w:rPr>
          <w:rFonts w:ascii="Arial" w:hAnsi="Arial" w:cs="Arial"/>
          <w:sz w:val="20"/>
        </w:rPr>
        <w:t xml:space="preserve"> as</w:t>
      </w:r>
      <w:r w:rsidRPr="00EC545A">
        <w:rPr>
          <w:rFonts w:ascii="Arial" w:hAnsi="Arial" w:cs="Arial"/>
          <w:sz w:val="20"/>
        </w:rPr>
        <w:t xml:space="preserve"> policies, their existence informs my discretion to resolve the issues in this case with judgment, sensitivity and common-sense, consistent with the demands of fairness. The considerations in these policies also reflect the application of some of the discrete public interest factors set out in the ACT DPP’s Prosecution Policy … </w:t>
      </w:r>
      <w:r w:rsidRPr="00EC545A">
        <w:rPr>
          <w:rFonts w:ascii="Arial" w:hAnsi="Arial" w:cs="Arial"/>
          <w:i/>
          <w:sz w:val="20"/>
        </w:rPr>
        <w:t>I have deliberately avoided the adoption of an offence-specific policy in relation to the public interest test</w:t>
      </w:r>
      <w:r w:rsidRPr="00EC545A">
        <w:rPr>
          <w:rFonts w:ascii="Arial" w:hAnsi="Arial" w:cs="Arial"/>
          <w:sz w:val="20"/>
        </w:rPr>
        <w:t>.</w:t>
      </w:r>
    </w:p>
    <w:p w14:paraId="6A5B6DB5" w14:textId="508CBAD4" w:rsidR="00057063" w:rsidRPr="00EC545A" w:rsidRDefault="00057063" w:rsidP="00CB4C9E">
      <w:pPr>
        <w:ind w:left="720"/>
        <w:rPr>
          <w:rFonts w:ascii="Arial" w:hAnsi="Arial" w:cs="Arial"/>
          <w:sz w:val="20"/>
        </w:rPr>
      </w:pPr>
      <w:r w:rsidRPr="00EC545A">
        <w:rPr>
          <w:rFonts w:ascii="Arial" w:hAnsi="Arial" w:cs="Arial"/>
          <w:sz w:val="20"/>
        </w:rPr>
        <w:t>[Emphasis added.]</w:t>
      </w:r>
    </w:p>
    <w:p w14:paraId="382433C2" w14:textId="299BC3C7" w:rsidR="00370737" w:rsidRPr="00EC545A" w:rsidRDefault="00052B00" w:rsidP="00455F3F">
      <w:pPr>
        <w:rPr>
          <w:rFonts w:ascii="Arial" w:hAnsi="Arial" w:cs="Arial"/>
        </w:rPr>
      </w:pPr>
      <w:r w:rsidRPr="00EC545A">
        <w:rPr>
          <w:rFonts w:ascii="Arial" w:hAnsi="Arial" w:cs="Arial"/>
        </w:rPr>
        <w:t>In doing so, the Director made the point that</w:t>
      </w:r>
      <w:r w:rsidR="00057063" w:rsidRPr="00EC545A">
        <w:rPr>
          <w:rFonts w:ascii="Arial" w:hAnsi="Arial" w:cs="Arial"/>
        </w:rPr>
        <w:t>, in a system that emphasises individualised justice, it may be unhelpful to constrain public interest discretion by reference to classes of offences and better to exercise discretion by considering the individual act in question.</w:t>
      </w:r>
    </w:p>
    <w:p w14:paraId="2AC218B7" w14:textId="31521770" w:rsidR="004D1C84" w:rsidRPr="00EC545A" w:rsidRDefault="003B3489" w:rsidP="00290621">
      <w:pPr>
        <w:rPr>
          <w:rFonts w:ascii="Arial" w:hAnsi="Arial" w:cs="Arial"/>
          <w:b/>
        </w:rPr>
      </w:pPr>
      <w:r w:rsidRPr="00EC545A">
        <w:rPr>
          <w:rFonts w:ascii="Arial" w:hAnsi="Arial" w:cs="Arial"/>
          <w:b/>
        </w:rPr>
        <w:t>Independent and effective prosecutors are essential to a working democracy</w:t>
      </w:r>
    </w:p>
    <w:p w14:paraId="4CDDAA8C" w14:textId="7E38EA0F" w:rsidR="003E3AE4" w:rsidRPr="00EC545A" w:rsidRDefault="00B70E61" w:rsidP="00057063">
      <w:pPr>
        <w:rPr>
          <w:rFonts w:ascii="Arial" w:hAnsi="Arial" w:cs="Arial"/>
        </w:rPr>
      </w:pPr>
      <w:r w:rsidRPr="00EC545A">
        <w:rPr>
          <w:rFonts w:ascii="Arial" w:hAnsi="Arial" w:cs="Arial"/>
        </w:rPr>
        <w:t xml:space="preserve">There is a strong connexion </w:t>
      </w:r>
      <w:r w:rsidR="001D6BD0" w:rsidRPr="00EC545A">
        <w:rPr>
          <w:rFonts w:ascii="Arial" w:hAnsi="Arial" w:cs="Arial"/>
        </w:rPr>
        <w:t>between</w:t>
      </w:r>
      <w:r w:rsidR="00EA442B" w:rsidRPr="00EC545A">
        <w:rPr>
          <w:rFonts w:ascii="Arial" w:hAnsi="Arial" w:cs="Arial"/>
        </w:rPr>
        <w:t xml:space="preserve"> independent </w:t>
      </w:r>
      <w:r w:rsidR="001D6BD0" w:rsidRPr="00EC545A">
        <w:rPr>
          <w:rFonts w:ascii="Arial" w:hAnsi="Arial" w:cs="Arial"/>
        </w:rPr>
        <w:t>prosecutors, the rule of law and a</w:t>
      </w:r>
      <w:r w:rsidR="00EA442B" w:rsidRPr="00EC545A">
        <w:rPr>
          <w:rFonts w:ascii="Arial" w:hAnsi="Arial" w:cs="Arial"/>
        </w:rPr>
        <w:t>n effective</w:t>
      </w:r>
      <w:r w:rsidR="00057063" w:rsidRPr="00EC545A">
        <w:rPr>
          <w:rFonts w:ascii="Arial" w:hAnsi="Arial" w:cs="Arial"/>
        </w:rPr>
        <w:t xml:space="preserve"> democracy. </w:t>
      </w:r>
      <w:r w:rsidR="003E3AE4" w:rsidRPr="00EC545A">
        <w:rPr>
          <w:rFonts w:ascii="Arial" w:hAnsi="Arial" w:cs="Arial"/>
        </w:rPr>
        <w:t xml:space="preserve">A weak or compromised prosecution service </w:t>
      </w:r>
      <w:r w:rsidR="003F6F49">
        <w:rPr>
          <w:rFonts w:ascii="Arial" w:hAnsi="Arial" w:cs="Arial"/>
        </w:rPr>
        <w:t>endangers</w:t>
      </w:r>
      <w:r w:rsidR="003E3AE4" w:rsidRPr="00EC545A">
        <w:rPr>
          <w:rFonts w:ascii="Arial" w:hAnsi="Arial" w:cs="Arial"/>
        </w:rPr>
        <w:t xml:space="preserve"> t</w:t>
      </w:r>
      <w:r w:rsidR="00EA442B" w:rsidRPr="00EC545A">
        <w:rPr>
          <w:rFonts w:ascii="Arial" w:hAnsi="Arial" w:cs="Arial"/>
        </w:rPr>
        <w:t>he rule of law</w:t>
      </w:r>
      <w:r w:rsidR="00057063" w:rsidRPr="00EC545A">
        <w:rPr>
          <w:rFonts w:ascii="Arial" w:hAnsi="Arial" w:cs="Arial"/>
        </w:rPr>
        <w:t>.</w:t>
      </w:r>
      <w:r w:rsidR="003E3AE4" w:rsidRPr="00EC545A">
        <w:rPr>
          <w:rStyle w:val="FootnoteReference"/>
          <w:rFonts w:ascii="Arial" w:hAnsi="Arial" w:cs="Arial"/>
        </w:rPr>
        <w:footnoteReference w:id="55"/>
      </w:r>
    </w:p>
    <w:p w14:paraId="733AED02" w14:textId="13A8BBA0" w:rsidR="001D6BD0" w:rsidRPr="00EC545A" w:rsidRDefault="00A972D7" w:rsidP="00FC53F1">
      <w:pPr>
        <w:rPr>
          <w:rFonts w:ascii="Arial" w:hAnsi="Arial" w:cs="Arial"/>
        </w:rPr>
      </w:pPr>
      <w:r w:rsidRPr="00EC545A">
        <w:rPr>
          <w:rFonts w:ascii="Arial" w:hAnsi="Arial" w:cs="Arial"/>
        </w:rPr>
        <w:t xml:space="preserve">The South African experience </w:t>
      </w:r>
      <w:r w:rsidR="00B70E61" w:rsidRPr="00EC545A">
        <w:rPr>
          <w:rFonts w:ascii="Arial" w:hAnsi="Arial" w:cs="Arial"/>
        </w:rPr>
        <w:t>is a contemporary example</w:t>
      </w:r>
      <w:r w:rsidR="00FC53F1" w:rsidRPr="00EC545A">
        <w:rPr>
          <w:rFonts w:ascii="Arial" w:hAnsi="Arial" w:cs="Arial"/>
        </w:rPr>
        <w:t xml:space="preserve">. </w:t>
      </w:r>
    </w:p>
    <w:p w14:paraId="12ABE458" w14:textId="7BEB83F7" w:rsidR="003B3489" w:rsidRPr="00EC545A" w:rsidRDefault="003B3489" w:rsidP="00FC53F1">
      <w:pPr>
        <w:rPr>
          <w:rFonts w:ascii="Arial" w:hAnsi="Arial" w:cs="Arial"/>
        </w:rPr>
      </w:pPr>
      <w:r w:rsidRPr="00EC545A">
        <w:rPr>
          <w:rFonts w:ascii="Arial" w:hAnsi="Arial" w:cs="Arial"/>
        </w:rPr>
        <w:t xml:space="preserve">In 1994, apartheid ended and </w:t>
      </w:r>
      <w:r w:rsidR="00FC53F1" w:rsidRPr="00EC545A">
        <w:rPr>
          <w:rFonts w:ascii="Arial" w:hAnsi="Arial" w:cs="Arial"/>
        </w:rPr>
        <w:t xml:space="preserve">South Africa became a democracy. </w:t>
      </w:r>
    </w:p>
    <w:p w14:paraId="0ADA104D" w14:textId="63A21B66" w:rsidR="007901C7" w:rsidRPr="00EC545A" w:rsidRDefault="003B3489" w:rsidP="00FC53F1">
      <w:pPr>
        <w:rPr>
          <w:rFonts w:ascii="Arial" w:hAnsi="Arial" w:cs="Arial"/>
        </w:rPr>
      </w:pPr>
      <w:r w:rsidRPr="00EC545A">
        <w:rPr>
          <w:rFonts w:ascii="Arial" w:hAnsi="Arial" w:cs="Arial"/>
        </w:rPr>
        <w:t xml:space="preserve">Up </w:t>
      </w:r>
      <w:r w:rsidR="00FC53F1" w:rsidRPr="00EC545A">
        <w:rPr>
          <w:rFonts w:ascii="Arial" w:hAnsi="Arial" w:cs="Arial"/>
        </w:rPr>
        <w:t xml:space="preserve">to </w:t>
      </w:r>
      <w:r w:rsidR="001D6BD0" w:rsidRPr="00EC545A">
        <w:rPr>
          <w:rFonts w:ascii="Arial" w:hAnsi="Arial" w:cs="Arial"/>
        </w:rPr>
        <w:t>1998</w:t>
      </w:r>
      <w:r w:rsidR="00FC53F1" w:rsidRPr="00EC545A">
        <w:rPr>
          <w:rFonts w:ascii="Arial" w:hAnsi="Arial" w:cs="Arial"/>
        </w:rPr>
        <w:t>,</w:t>
      </w:r>
      <w:r w:rsidRPr="00EC545A">
        <w:rPr>
          <w:rFonts w:ascii="Arial" w:hAnsi="Arial" w:cs="Arial"/>
        </w:rPr>
        <w:t xml:space="preserve"> the responsibility for prosecutions </w:t>
      </w:r>
      <w:r w:rsidR="007901C7" w:rsidRPr="00EC545A">
        <w:rPr>
          <w:rFonts w:ascii="Arial" w:hAnsi="Arial" w:cs="Arial"/>
        </w:rPr>
        <w:t xml:space="preserve">had rested both with </w:t>
      </w:r>
      <w:r w:rsidR="00FC53F1" w:rsidRPr="00EC545A">
        <w:rPr>
          <w:rFonts w:ascii="Arial" w:hAnsi="Arial" w:cs="Arial"/>
        </w:rPr>
        <w:t>the independent Attorneys-General of the four provinces and</w:t>
      </w:r>
      <w:r w:rsidR="007901C7" w:rsidRPr="00EC545A">
        <w:rPr>
          <w:rFonts w:ascii="Arial" w:hAnsi="Arial" w:cs="Arial"/>
        </w:rPr>
        <w:t xml:space="preserve"> </w:t>
      </w:r>
      <w:r w:rsidR="00FC53F1" w:rsidRPr="00EC545A">
        <w:rPr>
          <w:rFonts w:ascii="Arial" w:hAnsi="Arial" w:cs="Arial"/>
        </w:rPr>
        <w:t>the Justice Minister, wh</w:t>
      </w:r>
      <w:r w:rsidR="00AA3C56" w:rsidRPr="00EC545A">
        <w:rPr>
          <w:rFonts w:ascii="Arial" w:hAnsi="Arial" w:cs="Arial"/>
        </w:rPr>
        <w:t>o</w:t>
      </w:r>
      <w:r w:rsidR="00FC53F1" w:rsidRPr="00EC545A">
        <w:rPr>
          <w:rFonts w:ascii="Arial" w:hAnsi="Arial" w:cs="Arial"/>
        </w:rPr>
        <w:t xml:space="preserve"> had the power to reverse decisions of an Attorney-General and </w:t>
      </w:r>
      <w:r w:rsidR="007901C7" w:rsidRPr="00EC545A">
        <w:rPr>
          <w:rFonts w:ascii="Arial" w:hAnsi="Arial" w:cs="Arial"/>
        </w:rPr>
        <w:t>take over prosecution</w:t>
      </w:r>
      <w:r w:rsidR="00DE0F19">
        <w:rPr>
          <w:rFonts w:ascii="Arial" w:hAnsi="Arial" w:cs="Arial"/>
        </w:rPr>
        <w:t>s</w:t>
      </w:r>
      <w:r w:rsidR="00B70E61" w:rsidRPr="00EC545A">
        <w:rPr>
          <w:rFonts w:ascii="Arial" w:hAnsi="Arial" w:cs="Arial"/>
        </w:rPr>
        <w:t>.</w:t>
      </w:r>
      <w:r w:rsidR="007901C7" w:rsidRPr="00EC545A">
        <w:rPr>
          <w:rFonts w:ascii="Arial" w:hAnsi="Arial" w:cs="Arial"/>
        </w:rPr>
        <w:t xml:space="preserve"> In effect</w:t>
      </w:r>
      <w:r w:rsidR="00FC53F1" w:rsidRPr="00EC545A">
        <w:rPr>
          <w:rFonts w:ascii="Arial" w:hAnsi="Arial" w:cs="Arial"/>
        </w:rPr>
        <w:t>,</w:t>
      </w:r>
      <w:r w:rsidR="00AA3C56" w:rsidRPr="00EC545A">
        <w:rPr>
          <w:rFonts w:ascii="Arial" w:hAnsi="Arial" w:cs="Arial"/>
        </w:rPr>
        <w:t xml:space="preserve"> </w:t>
      </w:r>
      <w:r w:rsidR="007901C7" w:rsidRPr="00EC545A">
        <w:rPr>
          <w:rFonts w:ascii="Arial" w:hAnsi="Arial" w:cs="Arial"/>
        </w:rPr>
        <w:t xml:space="preserve">prosecutions were </w:t>
      </w:r>
      <w:r w:rsidR="00FC53F1" w:rsidRPr="00EC545A">
        <w:rPr>
          <w:rFonts w:ascii="Arial" w:hAnsi="Arial" w:cs="Arial"/>
        </w:rPr>
        <w:t>controlled by the executive.</w:t>
      </w:r>
      <w:r w:rsidR="00FC53F1" w:rsidRPr="00EC545A">
        <w:rPr>
          <w:rStyle w:val="FootnoteReference"/>
          <w:rFonts w:ascii="Arial" w:hAnsi="Arial" w:cs="Arial"/>
        </w:rPr>
        <w:footnoteReference w:id="56"/>
      </w:r>
      <w:r w:rsidR="00FC53F1" w:rsidRPr="00EC545A">
        <w:rPr>
          <w:rFonts w:ascii="Arial" w:hAnsi="Arial" w:cs="Arial"/>
        </w:rPr>
        <w:t xml:space="preserve"> </w:t>
      </w:r>
    </w:p>
    <w:p w14:paraId="153282E2" w14:textId="5F04056B" w:rsidR="00EA442B" w:rsidRPr="00EC545A" w:rsidRDefault="00EA442B" w:rsidP="00FC53F1">
      <w:pPr>
        <w:rPr>
          <w:rFonts w:ascii="Arial" w:hAnsi="Arial" w:cs="Arial"/>
        </w:rPr>
      </w:pPr>
      <w:r w:rsidRPr="00EC545A">
        <w:rPr>
          <w:rFonts w:ascii="Arial" w:hAnsi="Arial" w:cs="Arial"/>
        </w:rPr>
        <w:t>In 1998, the National Prosecution Au</w:t>
      </w:r>
      <w:r w:rsidR="00B42466" w:rsidRPr="00EC545A">
        <w:rPr>
          <w:rFonts w:ascii="Arial" w:hAnsi="Arial" w:cs="Arial"/>
        </w:rPr>
        <w:t xml:space="preserve">thority (NPA) was established. </w:t>
      </w:r>
      <w:r w:rsidRPr="00EC545A">
        <w:rPr>
          <w:rFonts w:ascii="Arial" w:hAnsi="Arial" w:cs="Arial"/>
        </w:rPr>
        <w:t>The National Director of Public Prosecutions (NDPP) operates within the NPA.</w:t>
      </w:r>
    </w:p>
    <w:p w14:paraId="3D4FC53F" w14:textId="1F4D2ECA" w:rsidR="007901C7" w:rsidRPr="00EC545A" w:rsidRDefault="00AB38C1" w:rsidP="00A27A9C">
      <w:pPr>
        <w:rPr>
          <w:rFonts w:ascii="Arial" w:hAnsi="Arial" w:cs="Arial"/>
        </w:rPr>
      </w:pPr>
      <w:r w:rsidRPr="00EC545A">
        <w:rPr>
          <w:rFonts w:ascii="Arial" w:hAnsi="Arial" w:cs="Arial"/>
        </w:rPr>
        <w:t>In 2015, President Zuma informed</w:t>
      </w:r>
      <w:r w:rsidR="007901C7" w:rsidRPr="00EC545A">
        <w:rPr>
          <w:rFonts w:ascii="Arial" w:hAnsi="Arial" w:cs="Arial"/>
        </w:rPr>
        <w:t xml:space="preserve"> the then</w:t>
      </w:r>
      <w:r w:rsidR="00781D97" w:rsidRPr="00EC545A">
        <w:rPr>
          <w:rFonts w:ascii="Arial" w:hAnsi="Arial" w:cs="Arial"/>
        </w:rPr>
        <w:t xml:space="preserve"> NDPP</w:t>
      </w:r>
      <w:r w:rsidRPr="00EC545A">
        <w:rPr>
          <w:rFonts w:ascii="Arial" w:hAnsi="Arial" w:cs="Arial"/>
        </w:rPr>
        <w:t xml:space="preserve"> </w:t>
      </w:r>
      <w:proofErr w:type="spellStart"/>
      <w:r w:rsidR="00781D97" w:rsidRPr="00EC545A">
        <w:rPr>
          <w:rFonts w:ascii="Arial" w:hAnsi="Arial" w:cs="Arial"/>
        </w:rPr>
        <w:t>Mxolisi</w:t>
      </w:r>
      <w:proofErr w:type="spellEnd"/>
      <w:r w:rsidR="00781D97" w:rsidRPr="00EC545A">
        <w:rPr>
          <w:rFonts w:ascii="Arial" w:hAnsi="Arial" w:cs="Arial"/>
        </w:rPr>
        <w:t xml:space="preserve"> </w:t>
      </w:r>
      <w:proofErr w:type="spellStart"/>
      <w:r w:rsidRPr="00EC545A">
        <w:rPr>
          <w:rFonts w:ascii="Arial" w:hAnsi="Arial" w:cs="Arial"/>
        </w:rPr>
        <w:t>Nxasana</w:t>
      </w:r>
      <w:proofErr w:type="spellEnd"/>
      <w:r w:rsidRPr="00EC545A">
        <w:rPr>
          <w:rFonts w:ascii="Arial" w:hAnsi="Arial" w:cs="Arial"/>
        </w:rPr>
        <w:t xml:space="preserve"> that</w:t>
      </w:r>
      <w:r w:rsidR="007901C7" w:rsidRPr="00EC545A">
        <w:rPr>
          <w:rFonts w:ascii="Arial" w:hAnsi="Arial" w:cs="Arial"/>
        </w:rPr>
        <w:t xml:space="preserve"> there would be an inquiry into his fitness for office. Mr </w:t>
      </w:r>
      <w:proofErr w:type="spellStart"/>
      <w:r w:rsidR="007901C7" w:rsidRPr="00EC545A">
        <w:rPr>
          <w:rFonts w:ascii="Arial" w:hAnsi="Arial" w:cs="Arial"/>
        </w:rPr>
        <w:t>Nxasana</w:t>
      </w:r>
      <w:proofErr w:type="spellEnd"/>
      <w:r w:rsidR="00EA442B" w:rsidRPr="00EC545A">
        <w:rPr>
          <w:rFonts w:ascii="Arial" w:hAnsi="Arial" w:cs="Arial"/>
        </w:rPr>
        <w:t xml:space="preserve"> maintained that he was f</w:t>
      </w:r>
      <w:r w:rsidR="007901C7" w:rsidRPr="00EC545A">
        <w:rPr>
          <w:rFonts w:ascii="Arial" w:hAnsi="Arial" w:cs="Arial"/>
        </w:rPr>
        <w:t>it for office and</w:t>
      </w:r>
      <w:r w:rsidR="00EA442B" w:rsidRPr="00EC545A">
        <w:rPr>
          <w:rFonts w:ascii="Arial" w:hAnsi="Arial" w:cs="Arial"/>
        </w:rPr>
        <w:t xml:space="preserve"> said that he did not wish </w:t>
      </w:r>
      <w:r w:rsidR="007901C7" w:rsidRPr="00EC545A">
        <w:rPr>
          <w:rFonts w:ascii="Arial" w:hAnsi="Arial" w:cs="Arial"/>
        </w:rPr>
        <w:t xml:space="preserve">to resign. However, </w:t>
      </w:r>
      <w:r w:rsidR="00DE0F19">
        <w:rPr>
          <w:rFonts w:ascii="Arial" w:hAnsi="Arial" w:cs="Arial"/>
        </w:rPr>
        <w:t>after</w:t>
      </w:r>
      <w:r w:rsidR="001A3862" w:rsidRPr="00EC545A">
        <w:rPr>
          <w:rFonts w:ascii="Arial" w:hAnsi="Arial" w:cs="Arial"/>
        </w:rPr>
        <w:t xml:space="preserve"> an inquiry </w:t>
      </w:r>
      <w:r w:rsidR="00DE0F19">
        <w:rPr>
          <w:rFonts w:ascii="Arial" w:hAnsi="Arial" w:cs="Arial"/>
        </w:rPr>
        <w:t xml:space="preserve">was </w:t>
      </w:r>
      <w:r w:rsidR="001A3862" w:rsidRPr="00EC545A">
        <w:rPr>
          <w:rFonts w:ascii="Arial" w:hAnsi="Arial" w:cs="Arial"/>
        </w:rPr>
        <w:t xml:space="preserve">set up, Mr </w:t>
      </w:r>
      <w:proofErr w:type="spellStart"/>
      <w:r w:rsidR="001A3862" w:rsidRPr="00EC545A">
        <w:rPr>
          <w:rFonts w:ascii="Arial" w:hAnsi="Arial" w:cs="Arial"/>
        </w:rPr>
        <w:t>Nxasana</w:t>
      </w:r>
      <w:proofErr w:type="spellEnd"/>
      <w:r w:rsidR="001A3862" w:rsidRPr="00EC545A">
        <w:rPr>
          <w:rFonts w:ascii="Arial" w:hAnsi="Arial" w:cs="Arial"/>
        </w:rPr>
        <w:t xml:space="preserve"> </w:t>
      </w:r>
      <w:r w:rsidR="00DE0F19">
        <w:rPr>
          <w:rFonts w:ascii="Arial" w:hAnsi="Arial" w:cs="Arial"/>
        </w:rPr>
        <w:t>decided to accept</w:t>
      </w:r>
      <w:r w:rsidR="001A3862" w:rsidRPr="00EC545A">
        <w:rPr>
          <w:rFonts w:ascii="Arial" w:hAnsi="Arial" w:cs="Arial"/>
        </w:rPr>
        <w:t xml:space="preserve"> a settlement </w:t>
      </w:r>
      <w:r w:rsidRPr="00EC545A">
        <w:rPr>
          <w:rFonts w:ascii="Arial" w:hAnsi="Arial" w:cs="Arial"/>
        </w:rPr>
        <w:t>offer</w:t>
      </w:r>
      <w:r w:rsidR="004309E4" w:rsidRPr="00EC545A">
        <w:rPr>
          <w:rFonts w:ascii="Arial" w:hAnsi="Arial" w:cs="Arial"/>
        </w:rPr>
        <w:t xml:space="preserve"> of</w:t>
      </w:r>
      <w:r w:rsidRPr="00EC545A">
        <w:rPr>
          <w:rFonts w:ascii="Arial" w:hAnsi="Arial" w:cs="Arial"/>
        </w:rPr>
        <w:t xml:space="preserve"> 17.3 million Rand (</w:t>
      </w:r>
      <w:r w:rsidR="004309E4" w:rsidRPr="00EC545A">
        <w:rPr>
          <w:rFonts w:ascii="Arial" w:hAnsi="Arial" w:cs="Arial"/>
        </w:rPr>
        <w:t>around</w:t>
      </w:r>
      <w:r w:rsidRPr="00EC545A">
        <w:rPr>
          <w:rFonts w:ascii="Arial" w:hAnsi="Arial" w:cs="Arial"/>
        </w:rPr>
        <w:t xml:space="preserve"> 1.7 million AUD)</w:t>
      </w:r>
      <w:r w:rsidR="00EA442B" w:rsidRPr="00EC545A">
        <w:rPr>
          <w:rFonts w:ascii="Arial" w:hAnsi="Arial" w:cs="Arial"/>
        </w:rPr>
        <w:t xml:space="preserve"> to vacate </w:t>
      </w:r>
      <w:r w:rsidR="007901C7" w:rsidRPr="00EC545A">
        <w:rPr>
          <w:rFonts w:ascii="Arial" w:hAnsi="Arial" w:cs="Arial"/>
        </w:rPr>
        <w:t xml:space="preserve">the office. </w:t>
      </w:r>
      <w:r w:rsidR="00C94E79" w:rsidRPr="00EC545A">
        <w:rPr>
          <w:rFonts w:ascii="Arial" w:hAnsi="Arial" w:cs="Arial"/>
        </w:rPr>
        <w:t xml:space="preserve">President Zuma appointed </w:t>
      </w:r>
      <w:r w:rsidR="00EA442B" w:rsidRPr="00EC545A">
        <w:rPr>
          <w:rFonts w:ascii="Arial" w:hAnsi="Arial" w:cs="Arial"/>
        </w:rPr>
        <w:t xml:space="preserve">a new </w:t>
      </w:r>
      <w:r w:rsidR="004309E4" w:rsidRPr="00EC545A">
        <w:rPr>
          <w:rFonts w:ascii="Arial" w:hAnsi="Arial" w:cs="Arial"/>
        </w:rPr>
        <w:t>NDPP.</w:t>
      </w:r>
      <w:r w:rsidR="00781D97" w:rsidRPr="00EC545A">
        <w:rPr>
          <w:rFonts w:ascii="Arial" w:hAnsi="Arial" w:cs="Arial"/>
        </w:rPr>
        <w:t xml:space="preserve"> </w:t>
      </w:r>
    </w:p>
    <w:p w14:paraId="64510A2A" w14:textId="35123D78" w:rsidR="00497519" w:rsidRPr="00EC545A" w:rsidRDefault="005D036E" w:rsidP="00AA3C56">
      <w:pPr>
        <w:rPr>
          <w:rFonts w:ascii="Arial" w:hAnsi="Arial" w:cs="Arial"/>
        </w:rPr>
      </w:pPr>
      <w:r w:rsidRPr="00EC545A">
        <w:rPr>
          <w:rFonts w:ascii="Arial" w:hAnsi="Arial" w:cs="Arial"/>
        </w:rPr>
        <w:t xml:space="preserve">Civil rights organisations brought proceedings challenging the constitutional validity of the removal and replacement. The Constitutional Court ruled that the removal of the NDPP was an unconstitutional abuse of power. The removal and the appointment of a new NDPP were declared invalid, as were provisions in the </w:t>
      </w:r>
      <w:r w:rsidRPr="00EC545A">
        <w:rPr>
          <w:rFonts w:ascii="Arial" w:hAnsi="Arial" w:cs="Arial"/>
          <w:i/>
        </w:rPr>
        <w:t>NPA Act</w:t>
      </w:r>
      <w:r w:rsidR="00397A6F">
        <w:rPr>
          <w:rFonts w:ascii="Arial" w:hAnsi="Arial" w:cs="Arial"/>
        </w:rPr>
        <w:t>,</w:t>
      </w:r>
      <w:r w:rsidRPr="00EC545A">
        <w:rPr>
          <w:rFonts w:ascii="Arial" w:hAnsi="Arial" w:cs="Arial"/>
          <w:vertAlign w:val="superscript"/>
        </w:rPr>
        <w:footnoteReference w:id="57"/>
      </w:r>
      <w:r w:rsidRPr="00EC545A">
        <w:rPr>
          <w:rFonts w:ascii="Arial" w:hAnsi="Arial" w:cs="Arial"/>
        </w:rPr>
        <w:t xml:space="preserve"> which perm</w:t>
      </w:r>
      <w:r w:rsidR="00DE0F19">
        <w:rPr>
          <w:rFonts w:ascii="Arial" w:hAnsi="Arial" w:cs="Arial"/>
        </w:rPr>
        <w:t>itted the President to extend a</w:t>
      </w:r>
      <w:r w:rsidRPr="00EC545A">
        <w:rPr>
          <w:rFonts w:ascii="Arial" w:hAnsi="Arial" w:cs="Arial"/>
        </w:rPr>
        <w:t xml:space="preserve"> NDPP’s term of office past retirement</w:t>
      </w:r>
      <w:r w:rsidR="00DE0F19">
        <w:rPr>
          <w:rFonts w:ascii="Arial" w:hAnsi="Arial" w:cs="Arial"/>
        </w:rPr>
        <w:t xml:space="preserve"> age and indefinitely suspend a NDP</w:t>
      </w:r>
      <w:bookmarkStart w:id="0" w:name="_GoBack"/>
      <w:bookmarkEnd w:id="0"/>
      <w:r w:rsidR="00DE0F19">
        <w:rPr>
          <w:rFonts w:ascii="Arial" w:hAnsi="Arial" w:cs="Arial"/>
        </w:rPr>
        <w:t>P without pay.  The provisions</w:t>
      </w:r>
      <w:r w:rsidRPr="00EC545A">
        <w:rPr>
          <w:rFonts w:ascii="Arial" w:hAnsi="Arial" w:cs="Arial"/>
        </w:rPr>
        <w:t xml:space="preserve"> were described as ‘tool[s] that [are] susceptible to abuse’,</w:t>
      </w:r>
      <w:r w:rsidRPr="00EC545A">
        <w:rPr>
          <w:rFonts w:ascii="Arial" w:hAnsi="Arial" w:cs="Arial"/>
          <w:vertAlign w:val="superscript"/>
        </w:rPr>
        <w:footnoteReference w:id="58"/>
      </w:r>
      <w:r w:rsidRPr="00EC545A">
        <w:rPr>
          <w:rFonts w:ascii="Arial" w:hAnsi="Arial" w:cs="Arial"/>
        </w:rPr>
        <w:t xml:space="preserve"> and that would expose the office holder to ‘the temptation to “behave” herself in anticipation of renewal’.</w:t>
      </w:r>
      <w:r w:rsidRPr="00EC545A">
        <w:rPr>
          <w:rFonts w:ascii="Arial" w:hAnsi="Arial" w:cs="Arial"/>
          <w:vertAlign w:val="superscript"/>
        </w:rPr>
        <w:footnoteReference w:id="59"/>
      </w:r>
      <w:r w:rsidRPr="00EC545A">
        <w:rPr>
          <w:rFonts w:ascii="Arial" w:hAnsi="Arial" w:cs="Arial"/>
        </w:rPr>
        <w:t xml:space="preserve"> </w:t>
      </w:r>
      <w:r w:rsidR="00497519" w:rsidRPr="00EC545A">
        <w:rPr>
          <w:rFonts w:ascii="Arial" w:hAnsi="Arial" w:cs="Arial"/>
        </w:rPr>
        <w:t>In its judgment, the Court emphasised the NPA’s ‘</w:t>
      </w:r>
      <w:r w:rsidR="0021234A" w:rsidRPr="00EC545A">
        <w:rPr>
          <w:rFonts w:ascii="Arial" w:hAnsi="Arial" w:cs="Arial"/>
        </w:rPr>
        <w:t>pivotal</w:t>
      </w:r>
      <w:r w:rsidR="00497519" w:rsidRPr="00EC545A">
        <w:rPr>
          <w:rFonts w:ascii="Arial" w:hAnsi="Arial" w:cs="Arial"/>
        </w:rPr>
        <w:t xml:space="preserve"> role in the administration of criminal justice’, which </w:t>
      </w:r>
      <w:r w:rsidR="00511C47">
        <w:rPr>
          <w:rFonts w:ascii="Arial" w:hAnsi="Arial" w:cs="Arial"/>
        </w:rPr>
        <w:t xml:space="preserve">could not </w:t>
      </w:r>
      <w:r w:rsidR="00497519" w:rsidRPr="00EC545A">
        <w:rPr>
          <w:rFonts w:ascii="Arial" w:hAnsi="Arial" w:cs="Arial"/>
        </w:rPr>
        <w:t>be performed by ‘a malleable, corrupt or dysfunctional prosecuting authority’.</w:t>
      </w:r>
      <w:r w:rsidR="00497519" w:rsidRPr="00EC545A">
        <w:rPr>
          <w:rStyle w:val="FootnoteReference"/>
          <w:rFonts w:ascii="Arial" w:hAnsi="Arial" w:cs="Arial"/>
        </w:rPr>
        <w:footnoteReference w:id="60"/>
      </w:r>
      <w:r w:rsidR="004309E4" w:rsidRPr="00EC545A">
        <w:rPr>
          <w:rFonts w:ascii="Arial" w:hAnsi="Arial" w:cs="Arial"/>
        </w:rPr>
        <w:t xml:space="preserve"> </w:t>
      </w:r>
    </w:p>
    <w:p w14:paraId="28C0C43C" w14:textId="11EFCD95" w:rsidR="00AA3C56" w:rsidRPr="00EC545A" w:rsidRDefault="00EA442B" w:rsidP="00AA3C56">
      <w:pPr>
        <w:rPr>
          <w:rFonts w:ascii="Arial" w:hAnsi="Arial" w:cs="Arial"/>
        </w:rPr>
      </w:pPr>
      <w:r w:rsidRPr="00EC545A">
        <w:rPr>
          <w:rFonts w:ascii="Arial" w:hAnsi="Arial" w:cs="Arial"/>
        </w:rPr>
        <w:t xml:space="preserve">Recently, </w:t>
      </w:r>
      <w:proofErr w:type="spellStart"/>
      <w:r w:rsidR="0065149F" w:rsidRPr="00EC545A">
        <w:rPr>
          <w:rFonts w:ascii="Arial" w:hAnsi="Arial" w:cs="Arial"/>
        </w:rPr>
        <w:t>Shamila</w:t>
      </w:r>
      <w:proofErr w:type="spellEnd"/>
      <w:r w:rsidR="0065149F" w:rsidRPr="00EC545A">
        <w:rPr>
          <w:rFonts w:ascii="Arial" w:hAnsi="Arial" w:cs="Arial"/>
        </w:rPr>
        <w:t xml:space="preserve"> </w:t>
      </w:r>
      <w:proofErr w:type="spellStart"/>
      <w:r w:rsidR="0065149F" w:rsidRPr="00EC545A">
        <w:rPr>
          <w:rFonts w:ascii="Arial" w:hAnsi="Arial" w:cs="Arial"/>
        </w:rPr>
        <w:t>Batohi</w:t>
      </w:r>
      <w:proofErr w:type="spellEnd"/>
      <w:r w:rsidR="0065149F" w:rsidRPr="00EC545A">
        <w:rPr>
          <w:rFonts w:ascii="Arial" w:hAnsi="Arial" w:cs="Arial"/>
        </w:rPr>
        <w:t xml:space="preserve"> was appointed as NDPP. She </w:t>
      </w:r>
      <w:r w:rsidR="00B23AF2" w:rsidRPr="00EC545A">
        <w:rPr>
          <w:rFonts w:ascii="Arial" w:hAnsi="Arial" w:cs="Arial"/>
        </w:rPr>
        <w:t>has a strong vision for the Authority</w:t>
      </w:r>
      <w:r w:rsidR="003E3AE4" w:rsidRPr="00EC545A">
        <w:rPr>
          <w:rFonts w:ascii="Arial" w:hAnsi="Arial" w:cs="Arial"/>
        </w:rPr>
        <w:t xml:space="preserve"> and has stated</w:t>
      </w:r>
      <w:r w:rsidR="00B23AF2" w:rsidRPr="00EC545A">
        <w:rPr>
          <w:rFonts w:ascii="Arial" w:hAnsi="Arial" w:cs="Arial"/>
        </w:rPr>
        <w:t>:</w:t>
      </w:r>
    </w:p>
    <w:p w14:paraId="0635014D" w14:textId="77777777" w:rsidR="00AA3C56" w:rsidRPr="00EC545A" w:rsidRDefault="00AA3C56" w:rsidP="00B23AF2">
      <w:pPr>
        <w:ind w:left="720"/>
        <w:rPr>
          <w:rFonts w:ascii="Arial" w:hAnsi="Arial" w:cs="Arial"/>
          <w:sz w:val="20"/>
        </w:rPr>
      </w:pPr>
      <w:r w:rsidRPr="00EC545A">
        <w:rPr>
          <w:rFonts w:ascii="Arial" w:hAnsi="Arial" w:cs="Arial"/>
          <w:sz w:val="20"/>
        </w:rPr>
        <w:t>An effective, accountable National Prosecuting Authority needs at least two things: structural independence and competent personnel with expertise and integrity.</w:t>
      </w:r>
      <w:r w:rsidRPr="00EC545A">
        <w:rPr>
          <w:rStyle w:val="FootnoteReference"/>
          <w:rFonts w:ascii="Arial" w:hAnsi="Arial" w:cs="Arial"/>
          <w:sz w:val="20"/>
        </w:rPr>
        <w:footnoteReference w:id="61"/>
      </w:r>
    </w:p>
    <w:p w14:paraId="553A7962" w14:textId="376976F5" w:rsidR="003E3AE4" w:rsidRPr="00EC545A" w:rsidRDefault="003E3AE4" w:rsidP="003E3AE4">
      <w:pPr>
        <w:rPr>
          <w:rFonts w:ascii="Arial" w:hAnsi="Arial" w:cs="Arial"/>
        </w:rPr>
      </w:pPr>
      <w:r w:rsidRPr="00EC545A">
        <w:rPr>
          <w:rFonts w:ascii="Arial" w:hAnsi="Arial" w:cs="Arial"/>
        </w:rPr>
        <w:t>South Africa is ranked 73 of 180 countries globally for corruption.</w:t>
      </w:r>
      <w:r w:rsidR="00EF5E3D" w:rsidRPr="00EC545A">
        <w:rPr>
          <w:rStyle w:val="FootnoteReference"/>
          <w:rFonts w:ascii="Arial" w:hAnsi="Arial" w:cs="Arial"/>
        </w:rPr>
        <w:footnoteReference w:id="62"/>
      </w:r>
      <w:r w:rsidRPr="00EC545A">
        <w:rPr>
          <w:rFonts w:ascii="Arial" w:hAnsi="Arial" w:cs="Arial"/>
        </w:rPr>
        <w:t xml:space="preserve"> This places South Africa above India but behind Vanuatu and Malaysia, on par with Morocco and Tunisia.</w:t>
      </w:r>
      <w:r w:rsidRPr="00EC545A">
        <w:rPr>
          <w:rStyle w:val="FootnoteReference"/>
          <w:rFonts w:ascii="Arial" w:hAnsi="Arial" w:cs="Arial"/>
        </w:rPr>
        <w:footnoteReference w:id="63"/>
      </w:r>
    </w:p>
    <w:p w14:paraId="6D6F47EF" w14:textId="5F34C7DE" w:rsidR="003E3AE4" w:rsidRPr="00EC545A" w:rsidRDefault="003E3AE4" w:rsidP="003E3AE4">
      <w:pPr>
        <w:rPr>
          <w:rFonts w:ascii="Arial" w:hAnsi="Arial" w:cs="Arial"/>
        </w:rPr>
      </w:pPr>
      <w:r w:rsidRPr="00EC545A">
        <w:rPr>
          <w:rFonts w:ascii="Arial" w:hAnsi="Arial" w:cs="Arial"/>
        </w:rPr>
        <w:t>Can one woman be a game changer? Let’s watch that space.</w:t>
      </w:r>
    </w:p>
    <w:p w14:paraId="6E5DDC5A" w14:textId="21DB5F9C" w:rsidR="002B266B" w:rsidRPr="00EC545A" w:rsidRDefault="002B266B" w:rsidP="003E3AE4">
      <w:pPr>
        <w:rPr>
          <w:rFonts w:ascii="Arial" w:hAnsi="Arial" w:cs="Arial"/>
          <w:b/>
        </w:rPr>
      </w:pPr>
      <w:r w:rsidRPr="00EC545A">
        <w:rPr>
          <w:rFonts w:ascii="Arial" w:hAnsi="Arial" w:cs="Arial"/>
          <w:b/>
        </w:rPr>
        <w:t>Final comments</w:t>
      </w:r>
    </w:p>
    <w:p w14:paraId="13C687BF" w14:textId="60663429" w:rsidR="003E3AE4" w:rsidRPr="00EC545A" w:rsidRDefault="003E3AE4" w:rsidP="003E3AE4">
      <w:pPr>
        <w:rPr>
          <w:rFonts w:ascii="Arial" w:hAnsi="Arial" w:cs="Arial"/>
        </w:rPr>
      </w:pPr>
      <w:r w:rsidRPr="00EC545A">
        <w:rPr>
          <w:rFonts w:ascii="Arial" w:hAnsi="Arial" w:cs="Arial"/>
        </w:rPr>
        <w:t xml:space="preserve">But back to </w:t>
      </w:r>
      <w:r w:rsidR="002B266B" w:rsidRPr="00EC545A">
        <w:rPr>
          <w:rFonts w:ascii="Arial" w:hAnsi="Arial" w:cs="Arial"/>
        </w:rPr>
        <w:t xml:space="preserve">more </w:t>
      </w:r>
      <w:r w:rsidRPr="00EC545A">
        <w:rPr>
          <w:rFonts w:ascii="Arial" w:hAnsi="Arial" w:cs="Arial"/>
        </w:rPr>
        <w:t>parochial matters.</w:t>
      </w:r>
    </w:p>
    <w:p w14:paraId="4F7AFEF5" w14:textId="07774A9F" w:rsidR="00EF5E3D" w:rsidRPr="00EC545A" w:rsidRDefault="00EF5E3D" w:rsidP="00EF5E3D">
      <w:pPr>
        <w:rPr>
          <w:rFonts w:ascii="Arial" w:hAnsi="Arial" w:cs="Arial"/>
        </w:rPr>
      </w:pPr>
      <w:r w:rsidRPr="00EC545A">
        <w:rPr>
          <w:rFonts w:ascii="Arial" w:hAnsi="Arial" w:cs="Arial"/>
        </w:rPr>
        <w:t>Allow me to make a few practical suggestions about how you, individually, might choose to exercise your duty:</w:t>
      </w:r>
    </w:p>
    <w:p w14:paraId="1C5BAA3B" w14:textId="05CD3090" w:rsidR="00EF5E3D" w:rsidRPr="00EC545A" w:rsidRDefault="00EF5E3D" w:rsidP="00EF5E3D">
      <w:pPr>
        <w:pStyle w:val="ListParagraph"/>
        <w:numPr>
          <w:ilvl w:val="0"/>
          <w:numId w:val="8"/>
        </w:numPr>
        <w:rPr>
          <w:rFonts w:ascii="Arial" w:hAnsi="Arial" w:cs="Arial"/>
        </w:rPr>
      </w:pPr>
      <w:r w:rsidRPr="00EC545A">
        <w:rPr>
          <w:rFonts w:ascii="Arial" w:hAnsi="Arial" w:cs="Arial"/>
        </w:rPr>
        <w:t>Interrogate the police to make sure that they are not (whether consciously or inadvertently) withholding (or strategically delaying the delivery of) material that may be relevant to the defence.</w:t>
      </w:r>
    </w:p>
    <w:p w14:paraId="039E6A6F" w14:textId="12B50BB0" w:rsidR="00EF5E3D" w:rsidRPr="00EC545A" w:rsidRDefault="00EF5E3D" w:rsidP="00EF5E3D">
      <w:pPr>
        <w:pStyle w:val="ListParagraph"/>
        <w:numPr>
          <w:ilvl w:val="0"/>
          <w:numId w:val="8"/>
        </w:numPr>
        <w:rPr>
          <w:rFonts w:ascii="Arial" w:hAnsi="Arial" w:cs="Arial"/>
        </w:rPr>
      </w:pPr>
      <w:r w:rsidRPr="00EC545A">
        <w:rPr>
          <w:rFonts w:ascii="Arial" w:hAnsi="Arial" w:cs="Arial"/>
        </w:rPr>
        <w:t xml:space="preserve">Line up the available </w:t>
      </w:r>
      <w:r w:rsidR="00511C47">
        <w:rPr>
          <w:rFonts w:ascii="Arial" w:hAnsi="Arial" w:cs="Arial"/>
        </w:rPr>
        <w:t xml:space="preserve">evidence </w:t>
      </w:r>
      <w:r w:rsidRPr="00EC545A">
        <w:rPr>
          <w:rFonts w:ascii="Arial" w:hAnsi="Arial" w:cs="Arial"/>
        </w:rPr>
        <w:t>against the el</w:t>
      </w:r>
      <w:r w:rsidR="00511C47">
        <w:rPr>
          <w:rFonts w:ascii="Arial" w:hAnsi="Arial" w:cs="Arial"/>
        </w:rPr>
        <w:t>ements of the offence and ask</w:t>
      </w:r>
      <w:r w:rsidRPr="00EC545A">
        <w:rPr>
          <w:rFonts w:ascii="Arial" w:hAnsi="Arial" w:cs="Arial"/>
        </w:rPr>
        <w:t xml:space="preserve"> not only whether </w:t>
      </w:r>
      <w:r w:rsidR="00511C47">
        <w:rPr>
          <w:rFonts w:ascii="Arial" w:hAnsi="Arial" w:cs="Arial"/>
        </w:rPr>
        <w:t>it</w:t>
      </w:r>
      <w:r w:rsidRPr="00EC545A">
        <w:rPr>
          <w:rFonts w:ascii="Arial" w:hAnsi="Arial" w:cs="Arial"/>
        </w:rPr>
        <w:t xml:space="preserve"> tends to prove an element but also whether it tends to disprove an element.</w:t>
      </w:r>
    </w:p>
    <w:p w14:paraId="6F65E55C" w14:textId="77777777" w:rsidR="00EF5E3D" w:rsidRPr="00EC545A" w:rsidRDefault="00EF5E3D" w:rsidP="00EF5E3D">
      <w:pPr>
        <w:pStyle w:val="ListParagraph"/>
        <w:numPr>
          <w:ilvl w:val="0"/>
          <w:numId w:val="8"/>
        </w:numPr>
        <w:rPr>
          <w:rFonts w:ascii="Arial" w:hAnsi="Arial" w:cs="Arial"/>
        </w:rPr>
      </w:pPr>
      <w:r w:rsidRPr="00EC545A">
        <w:rPr>
          <w:rFonts w:ascii="Arial" w:hAnsi="Arial" w:cs="Arial"/>
        </w:rPr>
        <w:t>Just because you can take an objection that doesn’t mean that you should take an objection; sometimes it better to let the trial flow, especially where the objectionable question was asked because of the inexperience of defence counsel.</w:t>
      </w:r>
    </w:p>
    <w:p w14:paraId="3D34006C" w14:textId="5D63BB91" w:rsidR="003E3AE4" w:rsidRPr="00EC545A" w:rsidRDefault="00EF5E3D" w:rsidP="00EF5E3D">
      <w:pPr>
        <w:rPr>
          <w:rFonts w:ascii="Arial" w:hAnsi="Arial" w:cs="Arial"/>
        </w:rPr>
      </w:pPr>
      <w:r w:rsidRPr="00EC545A">
        <w:rPr>
          <w:rFonts w:ascii="Arial" w:hAnsi="Arial" w:cs="Arial"/>
        </w:rPr>
        <w:t xml:space="preserve">At an organisational level, I know that practical steps are being taken to reinforce the fairness and detachment with which you perform your role: </w:t>
      </w:r>
    </w:p>
    <w:p w14:paraId="5873A417" w14:textId="28B00421" w:rsidR="00EF5E3D" w:rsidRPr="00EC545A" w:rsidRDefault="00EF5E3D" w:rsidP="00EF5E3D">
      <w:pPr>
        <w:numPr>
          <w:ilvl w:val="0"/>
          <w:numId w:val="6"/>
        </w:numPr>
        <w:rPr>
          <w:rFonts w:ascii="Arial" w:hAnsi="Arial" w:cs="Arial"/>
        </w:rPr>
      </w:pPr>
      <w:r w:rsidRPr="00EC545A">
        <w:rPr>
          <w:rFonts w:ascii="Arial" w:hAnsi="Arial" w:cs="Arial"/>
        </w:rPr>
        <w:t>Prosecutor duties are reflected in professional guidelines such as the ACT Barristers Rules.</w:t>
      </w:r>
      <w:r w:rsidRPr="00EC545A">
        <w:rPr>
          <w:rFonts w:ascii="Arial" w:hAnsi="Arial" w:cs="Arial"/>
          <w:vertAlign w:val="superscript"/>
        </w:rPr>
        <w:footnoteReference w:id="64"/>
      </w:r>
      <w:r w:rsidRPr="00EC545A">
        <w:rPr>
          <w:rFonts w:ascii="Arial" w:hAnsi="Arial" w:cs="Arial"/>
        </w:rPr>
        <w:t xml:space="preserve"> The Barristers Rules are one means of ensuring that prosecutors conduct themselves with integrity. Consequently, I am pleased that many of you are being supported to join the ACT Bar Association.</w:t>
      </w:r>
    </w:p>
    <w:p w14:paraId="0F0102C8" w14:textId="16EEF125" w:rsidR="003E3AE4" w:rsidRPr="00EC545A" w:rsidRDefault="003E3AE4" w:rsidP="003E3AE4">
      <w:pPr>
        <w:pStyle w:val="ListParagraph"/>
        <w:numPr>
          <w:ilvl w:val="0"/>
          <w:numId w:val="6"/>
        </w:numPr>
        <w:rPr>
          <w:rFonts w:ascii="Arial" w:hAnsi="Arial" w:cs="Arial"/>
        </w:rPr>
      </w:pPr>
      <w:r w:rsidRPr="00EC545A">
        <w:rPr>
          <w:rFonts w:ascii="Arial" w:hAnsi="Arial" w:cs="Arial"/>
        </w:rPr>
        <w:t>The exchange of lawyers</w:t>
      </w:r>
      <w:r w:rsidR="002B266B" w:rsidRPr="00EC545A">
        <w:rPr>
          <w:rFonts w:ascii="Arial" w:hAnsi="Arial" w:cs="Arial"/>
        </w:rPr>
        <w:t xml:space="preserve"> between the DPP and Legal Aid gives you as prosecutors an </w:t>
      </w:r>
      <w:r w:rsidRPr="00EC545A">
        <w:rPr>
          <w:rFonts w:ascii="Arial" w:hAnsi="Arial" w:cs="Arial"/>
        </w:rPr>
        <w:t xml:space="preserve">understanding of what fairness </w:t>
      </w:r>
      <w:r w:rsidR="002B266B" w:rsidRPr="00EC545A">
        <w:rPr>
          <w:rFonts w:ascii="Arial" w:hAnsi="Arial" w:cs="Arial"/>
        </w:rPr>
        <w:t xml:space="preserve">to the accused </w:t>
      </w:r>
      <w:r w:rsidRPr="00EC545A">
        <w:rPr>
          <w:rFonts w:ascii="Arial" w:hAnsi="Arial" w:cs="Arial"/>
        </w:rPr>
        <w:t>means</w:t>
      </w:r>
      <w:r w:rsidR="002B266B" w:rsidRPr="00EC545A">
        <w:rPr>
          <w:rFonts w:ascii="Arial" w:hAnsi="Arial" w:cs="Arial"/>
        </w:rPr>
        <w:t xml:space="preserve"> in a practical sense</w:t>
      </w:r>
      <w:r w:rsidRPr="00EC545A">
        <w:rPr>
          <w:rFonts w:ascii="Arial" w:hAnsi="Arial" w:cs="Arial"/>
        </w:rPr>
        <w:t>.</w:t>
      </w:r>
    </w:p>
    <w:p w14:paraId="3CEB0BBD" w14:textId="226EC880" w:rsidR="00EF5E3D" w:rsidRPr="00EC545A" w:rsidRDefault="00EF5E3D" w:rsidP="00EF5E3D">
      <w:pPr>
        <w:rPr>
          <w:rFonts w:ascii="Arial" w:hAnsi="Arial" w:cs="Arial"/>
          <w:u w:val="single"/>
        </w:rPr>
      </w:pPr>
      <w:r w:rsidRPr="00EC545A">
        <w:rPr>
          <w:rFonts w:ascii="Arial" w:hAnsi="Arial" w:cs="Arial"/>
        </w:rPr>
        <w:t>Finally, I want to return to a topic that I mentioned earlier – reputation. I said that one of the key objectives of promoting ethical conduct by prosecutors is to protect the reputation of individual prosecutors.</w:t>
      </w:r>
    </w:p>
    <w:p w14:paraId="202E340B" w14:textId="77777777" w:rsidR="00EF5E3D" w:rsidRPr="00EC545A" w:rsidRDefault="00EF5E3D" w:rsidP="00EF5E3D">
      <w:pPr>
        <w:rPr>
          <w:rFonts w:ascii="Arial" w:hAnsi="Arial" w:cs="Arial"/>
        </w:rPr>
      </w:pPr>
      <w:r w:rsidRPr="00EC545A">
        <w:rPr>
          <w:rFonts w:ascii="Arial" w:hAnsi="Arial" w:cs="Arial"/>
        </w:rPr>
        <w:t xml:space="preserve">A good reputation is critical to the success of any lawyer. But it may mean something different for a prosecutor and defence counsel. A defence counsel may be highly regarded although they are aggressive, difficult and keep their cards close to their chest. However, a prosecutor must always act transparently and fairly, even in the face of extreme provocation by defence counsel. </w:t>
      </w:r>
    </w:p>
    <w:p w14:paraId="278F506E" w14:textId="77777777" w:rsidR="00EF5E3D" w:rsidRPr="00EC545A" w:rsidRDefault="00EF5E3D" w:rsidP="00EF5E3D">
      <w:pPr>
        <w:rPr>
          <w:rFonts w:ascii="Arial" w:hAnsi="Arial" w:cs="Arial"/>
        </w:rPr>
      </w:pPr>
      <w:r w:rsidRPr="00EC545A">
        <w:rPr>
          <w:rFonts w:ascii="Arial" w:hAnsi="Arial" w:cs="Arial"/>
        </w:rPr>
        <w:t>It is trite to say that:</w:t>
      </w:r>
    </w:p>
    <w:p w14:paraId="400D5BE9" w14:textId="389D9925" w:rsidR="00EF5E3D" w:rsidRPr="00EC545A" w:rsidRDefault="00EF5E3D" w:rsidP="00EF5E3D">
      <w:pPr>
        <w:ind w:firstLine="720"/>
        <w:rPr>
          <w:rFonts w:ascii="Arial" w:hAnsi="Arial" w:cs="Arial"/>
          <w:sz w:val="20"/>
        </w:rPr>
      </w:pPr>
      <w:r w:rsidRPr="00EC545A">
        <w:rPr>
          <w:rFonts w:ascii="Arial" w:hAnsi="Arial" w:cs="Arial"/>
          <w:sz w:val="20"/>
        </w:rPr>
        <w:t>It takes many good deeds to build a good reputation, and only one to lose it.</w:t>
      </w:r>
      <w:r w:rsidRPr="00EC545A">
        <w:rPr>
          <w:rStyle w:val="FootnoteReference"/>
          <w:rFonts w:ascii="Arial" w:hAnsi="Arial" w:cs="Arial"/>
          <w:sz w:val="20"/>
        </w:rPr>
        <w:footnoteReference w:id="65"/>
      </w:r>
    </w:p>
    <w:p w14:paraId="1D263A44" w14:textId="77777777" w:rsidR="00EF5E3D" w:rsidRPr="00EC545A" w:rsidRDefault="00EF5E3D" w:rsidP="00EF5E3D">
      <w:pPr>
        <w:rPr>
          <w:rFonts w:ascii="Arial" w:hAnsi="Arial" w:cs="Arial"/>
        </w:rPr>
      </w:pPr>
      <w:r w:rsidRPr="00EC545A">
        <w:rPr>
          <w:rFonts w:ascii="Arial" w:hAnsi="Arial" w:cs="Arial"/>
        </w:rPr>
        <w:t xml:space="preserve">Learned, able and glamorous as you are, you may prefer a quotation from Shakespeare’s most admired lawyer, Portia, in </w:t>
      </w:r>
      <w:r w:rsidRPr="00EC545A">
        <w:rPr>
          <w:rFonts w:ascii="Arial" w:hAnsi="Arial" w:cs="Arial"/>
          <w:i/>
        </w:rPr>
        <w:t>The Merchant of Venice</w:t>
      </w:r>
      <w:r w:rsidRPr="00EC545A">
        <w:rPr>
          <w:rFonts w:ascii="Arial" w:hAnsi="Arial" w:cs="Arial"/>
        </w:rPr>
        <w:t>:</w:t>
      </w:r>
    </w:p>
    <w:p w14:paraId="5E9605D6" w14:textId="5EC73A39" w:rsidR="00EF5E3D" w:rsidRPr="00EC545A" w:rsidRDefault="00EF5E3D" w:rsidP="00EF5E3D">
      <w:pPr>
        <w:ind w:left="720"/>
        <w:rPr>
          <w:rFonts w:ascii="Arial" w:hAnsi="Arial" w:cs="Arial"/>
          <w:sz w:val="20"/>
        </w:rPr>
      </w:pPr>
      <w:r w:rsidRPr="00EC545A">
        <w:rPr>
          <w:rFonts w:ascii="Arial" w:hAnsi="Arial" w:cs="Arial"/>
          <w:sz w:val="20"/>
        </w:rPr>
        <w:t>How far that little candle throws his beams! So shines a good deed in a naughty world.</w:t>
      </w:r>
      <w:r w:rsidRPr="00EC545A">
        <w:rPr>
          <w:rStyle w:val="FootnoteReference"/>
          <w:rFonts w:ascii="Arial" w:hAnsi="Arial" w:cs="Arial"/>
          <w:sz w:val="20"/>
        </w:rPr>
        <w:t xml:space="preserve"> </w:t>
      </w:r>
      <w:r w:rsidRPr="00EC545A">
        <w:rPr>
          <w:rStyle w:val="FootnoteReference"/>
          <w:rFonts w:ascii="Arial" w:hAnsi="Arial" w:cs="Arial"/>
          <w:sz w:val="20"/>
        </w:rPr>
        <w:footnoteReference w:id="66"/>
      </w:r>
    </w:p>
    <w:sectPr w:rsidR="00EF5E3D" w:rsidRPr="00EC54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8A65" w14:textId="77777777" w:rsidR="00A7580C" w:rsidRDefault="00A7580C" w:rsidP="00BF0F10">
      <w:pPr>
        <w:spacing w:after="0" w:line="240" w:lineRule="auto"/>
      </w:pPr>
      <w:r>
        <w:separator/>
      </w:r>
    </w:p>
  </w:endnote>
  <w:endnote w:type="continuationSeparator" w:id="0">
    <w:p w14:paraId="4B382475" w14:textId="77777777" w:rsidR="00A7580C" w:rsidRDefault="00A7580C" w:rsidP="00BF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8998"/>
      <w:docPartObj>
        <w:docPartGallery w:val="Page Numbers (Bottom of Page)"/>
        <w:docPartUnique/>
      </w:docPartObj>
    </w:sdtPr>
    <w:sdtEndPr>
      <w:rPr>
        <w:noProof/>
      </w:rPr>
    </w:sdtEndPr>
    <w:sdtContent>
      <w:p w14:paraId="57E18269" w14:textId="77777777" w:rsidR="00A7580C" w:rsidRDefault="00A7580C">
        <w:pPr>
          <w:pStyle w:val="Footer"/>
          <w:jc w:val="right"/>
        </w:pPr>
        <w:r>
          <w:fldChar w:fldCharType="begin"/>
        </w:r>
        <w:r>
          <w:instrText xml:space="preserve"> PAGE   \* MERGEFORMAT </w:instrText>
        </w:r>
        <w:r>
          <w:fldChar w:fldCharType="separate"/>
        </w:r>
        <w:r w:rsidR="00397A6F">
          <w:rPr>
            <w:noProof/>
          </w:rPr>
          <w:t>10</w:t>
        </w:r>
        <w:r>
          <w:rPr>
            <w:noProof/>
          </w:rPr>
          <w:fldChar w:fldCharType="end"/>
        </w:r>
      </w:p>
    </w:sdtContent>
  </w:sdt>
  <w:p w14:paraId="0154EB43" w14:textId="77777777" w:rsidR="00A7580C" w:rsidRDefault="00A75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CDFF4" w14:textId="77777777" w:rsidR="00A7580C" w:rsidRDefault="00A7580C" w:rsidP="00BF0F10">
      <w:pPr>
        <w:spacing w:after="0" w:line="240" w:lineRule="auto"/>
      </w:pPr>
      <w:r>
        <w:separator/>
      </w:r>
    </w:p>
  </w:footnote>
  <w:footnote w:type="continuationSeparator" w:id="0">
    <w:p w14:paraId="41D475CF" w14:textId="77777777" w:rsidR="00A7580C" w:rsidRDefault="00A7580C" w:rsidP="00BF0F10">
      <w:pPr>
        <w:spacing w:after="0" w:line="240" w:lineRule="auto"/>
      </w:pPr>
      <w:r>
        <w:continuationSeparator/>
      </w:r>
    </w:p>
  </w:footnote>
  <w:footnote w:id="1">
    <w:p w14:paraId="5E08814B" w14:textId="4801CEE8" w:rsidR="00585319" w:rsidRPr="00EC545A" w:rsidRDefault="00585319">
      <w:pPr>
        <w:pStyle w:val="FootnoteText"/>
      </w:pPr>
      <w:r w:rsidRPr="00EC545A">
        <w:rPr>
          <w:rStyle w:val="FootnoteReference"/>
        </w:rPr>
        <w:t>*</w:t>
      </w:r>
      <w:r w:rsidRPr="00EC545A">
        <w:t xml:space="preserve"> This is an extended version of the speech delivered at the inaugural annual ACT DPP Prosecutors’ Dinner. I thank my associates, Ben Ye and Sienna Lake, for their research and editorial assistance.</w:t>
      </w:r>
    </w:p>
  </w:footnote>
  <w:footnote w:id="2">
    <w:p w14:paraId="0C8840D5" w14:textId="211208F4" w:rsidR="00A7580C" w:rsidRPr="00EC545A" w:rsidRDefault="00A7580C" w:rsidP="00BF0F10">
      <w:pPr>
        <w:pStyle w:val="FootnoteText"/>
        <w:rPr>
          <w:i/>
        </w:rPr>
      </w:pPr>
      <w:r w:rsidRPr="00EC545A">
        <w:rPr>
          <w:rStyle w:val="FootnoteReference"/>
        </w:rPr>
        <w:footnoteRef/>
      </w:r>
      <w:r w:rsidRPr="00EC545A">
        <w:t xml:space="preserve"> </w:t>
      </w:r>
      <w:r w:rsidRPr="00EC545A">
        <w:rPr>
          <w:bCs/>
          <w:i/>
          <w:iCs/>
        </w:rPr>
        <w:t>Miller v Jackson</w:t>
      </w:r>
      <w:r w:rsidRPr="00EC545A">
        <w:t> [1977] QB 966.</w:t>
      </w:r>
    </w:p>
  </w:footnote>
  <w:footnote w:id="3">
    <w:p w14:paraId="622BF5DB" w14:textId="5EC8A4EB" w:rsidR="00A7580C" w:rsidRPr="00EC545A" w:rsidRDefault="00A7580C" w:rsidP="00BF0F10">
      <w:pPr>
        <w:pStyle w:val="FootnoteText"/>
      </w:pPr>
      <w:r w:rsidRPr="00EC545A">
        <w:rPr>
          <w:rStyle w:val="FootnoteReference"/>
        </w:rPr>
        <w:footnoteRef/>
      </w:r>
      <w:r w:rsidRPr="00EC545A">
        <w:t xml:space="preserve"> </w:t>
      </w:r>
      <w:r w:rsidRPr="00EC545A">
        <w:rPr>
          <w:i/>
        </w:rPr>
        <w:t xml:space="preserve">Criminal Procedure Act 1865 </w:t>
      </w:r>
      <w:r w:rsidR="00755D2C" w:rsidRPr="00EC545A">
        <w:t>(UK)</w:t>
      </w:r>
      <w:r w:rsidRPr="00EC545A">
        <w:t xml:space="preserve">. </w:t>
      </w:r>
    </w:p>
  </w:footnote>
  <w:footnote w:id="4">
    <w:p w14:paraId="4B83C187" w14:textId="77777777" w:rsidR="00A7580C" w:rsidRPr="00EC545A" w:rsidRDefault="00A7580C" w:rsidP="00BF0F10">
      <w:pPr>
        <w:pStyle w:val="FootnoteText"/>
      </w:pPr>
      <w:r w:rsidRPr="00EC545A">
        <w:rPr>
          <w:rStyle w:val="FootnoteReference"/>
        </w:rPr>
        <w:footnoteRef/>
      </w:r>
      <w:r w:rsidRPr="00EC545A">
        <w:t xml:space="preserve"> </w:t>
      </w:r>
      <w:r w:rsidRPr="00EC545A">
        <w:rPr>
          <w:i/>
        </w:rPr>
        <w:t xml:space="preserve">R v </w:t>
      </w:r>
      <w:proofErr w:type="spellStart"/>
      <w:r w:rsidRPr="00EC545A">
        <w:rPr>
          <w:i/>
        </w:rPr>
        <w:t>Puddick</w:t>
      </w:r>
      <w:proofErr w:type="spellEnd"/>
      <w:r w:rsidRPr="00EC545A">
        <w:rPr>
          <w:i/>
        </w:rPr>
        <w:t xml:space="preserve"> </w:t>
      </w:r>
      <w:r w:rsidRPr="00EC545A">
        <w:t xml:space="preserve">(1865) 176 ER 662 at 663. </w:t>
      </w:r>
    </w:p>
  </w:footnote>
  <w:footnote w:id="5">
    <w:p w14:paraId="18A43242" w14:textId="77777777" w:rsidR="00A7580C" w:rsidRPr="00EC545A" w:rsidRDefault="00A7580C" w:rsidP="00BF0F10">
      <w:pPr>
        <w:pStyle w:val="FootnoteText"/>
      </w:pPr>
      <w:r w:rsidRPr="00EC545A">
        <w:rPr>
          <w:rStyle w:val="FootnoteReference"/>
        </w:rPr>
        <w:footnoteRef/>
      </w:r>
      <w:r w:rsidRPr="00EC545A">
        <w:t xml:space="preserve"> (1838) 173 ER 490.</w:t>
      </w:r>
    </w:p>
  </w:footnote>
  <w:footnote w:id="6">
    <w:p w14:paraId="6E28DC20" w14:textId="6FDEA925" w:rsidR="00A7580C" w:rsidRPr="00EC545A" w:rsidRDefault="00A7580C" w:rsidP="00BF0F10">
      <w:pPr>
        <w:pStyle w:val="FootnoteText"/>
      </w:pPr>
      <w:r w:rsidRPr="00EC545A">
        <w:rPr>
          <w:rStyle w:val="FootnoteReference"/>
        </w:rPr>
        <w:footnoteRef/>
      </w:r>
      <w:r w:rsidRPr="00EC545A">
        <w:t xml:space="preserve"> Ibid at 490</w:t>
      </w:r>
      <w:r w:rsidR="00631602" w:rsidRPr="00EC545A">
        <w:t>–</w:t>
      </w:r>
      <w:r w:rsidRPr="00EC545A">
        <w:t xml:space="preserve">1. </w:t>
      </w:r>
    </w:p>
  </w:footnote>
  <w:footnote w:id="7">
    <w:p w14:paraId="3091A2C6" w14:textId="77777777" w:rsidR="00A7580C" w:rsidRPr="00EC545A" w:rsidRDefault="00A7580C" w:rsidP="00BF0F10">
      <w:pPr>
        <w:pStyle w:val="FootnoteText"/>
      </w:pPr>
      <w:r w:rsidRPr="00EC545A">
        <w:rPr>
          <w:rStyle w:val="FootnoteReference"/>
        </w:rPr>
        <w:footnoteRef/>
      </w:r>
      <w:r w:rsidRPr="00EC545A">
        <w:t xml:space="preserve"> [2004] HCA 51; 79 ALJR 116 at [54]. </w:t>
      </w:r>
    </w:p>
  </w:footnote>
  <w:footnote w:id="8">
    <w:p w14:paraId="5E1E562D" w14:textId="77777777" w:rsidR="00A7580C" w:rsidRPr="00EC545A" w:rsidRDefault="00A7580C" w:rsidP="00BF0F10">
      <w:pPr>
        <w:pStyle w:val="FootnoteText"/>
      </w:pPr>
      <w:r w:rsidRPr="00EC545A">
        <w:rPr>
          <w:rStyle w:val="FootnoteReference"/>
        </w:rPr>
        <w:footnoteRef/>
      </w:r>
      <w:r w:rsidRPr="00EC545A">
        <w:t xml:space="preserve"> </w:t>
      </w:r>
      <w:r w:rsidRPr="00EC545A">
        <w:rPr>
          <w:i/>
        </w:rPr>
        <w:t>R v Hay and Lindsay</w:t>
      </w:r>
      <w:r w:rsidRPr="00EC545A">
        <w:t xml:space="preserve"> [1968] </w:t>
      </w:r>
      <w:proofErr w:type="spellStart"/>
      <w:r w:rsidRPr="00EC545A">
        <w:t>Qd</w:t>
      </w:r>
      <w:proofErr w:type="spellEnd"/>
      <w:r w:rsidRPr="00EC545A">
        <w:t xml:space="preserve"> R 459; </w:t>
      </w:r>
      <w:r w:rsidRPr="00EC545A">
        <w:rPr>
          <w:i/>
        </w:rPr>
        <w:t xml:space="preserve">The Queen v Tran </w:t>
      </w:r>
      <w:r w:rsidRPr="00EC545A">
        <w:t xml:space="preserve">[2000] FCA 1888; 180 ALR 62 at [128], cited with approval </w:t>
      </w:r>
      <w:r w:rsidRPr="00EC545A">
        <w:rPr>
          <w:i/>
        </w:rPr>
        <w:t xml:space="preserve">Whittaker v Tasmania </w:t>
      </w:r>
      <w:r w:rsidRPr="00EC545A">
        <w:t xml:space="preserve">[2006] TASSC 26 at [38] (Evans J, with Underwood CJ agreeing); </w:t>
      </w:r>
      <w:r w:rsidRPr="00EC545A">
        <w:rPr>
          <w:i/>
        </w:rPr>
        <w:t xml:space="preserve">Kanaan v The Queen </w:t>
      </w:r>
      <w:r w:rsidRPr="00EC545A">
        <w:t xml:space="preserve">[2006] NSWCCA 109 at [80]; </w:t>
      </w:r>
      <w:r w:rsidRPr="00EC545A">
        <w:rPr>
          <w:i/>
        </w:rPr>
        <w:t xml:space="preserve">R v Lucas </w:t>
      </w:r>
      <w:r w:rsidRPr="00EC545A">
        <w:t xml:space="preserve">[1973] VR 693 at 705 and the authorities there cited. </w:t>
      </w:r>
    </w:p>
  </w:footnote>
  <w:footnote w:id="9">
    <w:p w14:paraId="4CDCEACB" w14:textId="57196821" w:rsidR="00A7580C" w:rsidRPr="00EC545A" w:rsidRDefault="00A7580C" w:rsidP="00BF0F10">
      <w:pPr>
        <w:pStyle w:val="FootnoteText"/>
      </w:pPr>
      <w:r w:rsidRPr="00EC545A">
        <w:rPr>
          <w:rStyle w:val="FootnoteReference"/>
        </w:rPr>
        <w:footnoteRef/>
      </w:r>
      <w:r w:rsidRPr="00EC545A">
        <w:t xml:space="preserve"> </w:t>
      </w:r>
      <w:r w:rsidR="00C107B3" w:rsidRPr="00EC545A">
        <w:t xml:space="preserve">See, </w:t>
      </w:r>
      <w:proofErr w:type="spellStart"/>
      <w:r w:rsidR="00C107B3" w:rsidRPr="00EC545A">
        <w:t>eg</w:t>
      </w:r>
      <w:proofErr w:type="spellEnd"/>
      <w:r w:rsidR="00C107B3" w:rsidRPr="00EC545A">
        <w:t>, Justice Steven Chong, ‘</w:t>
      </w:r>
      <w:r w:rsidR="00E3322F" w:rsidRPr="00EC545A">
        <w:t>The Role And Duties of A prosecutor – The Lawyer Who Never “Loses” A Case</w:t>
      </w:r>
      <w:r w:rsidR="00C107B3" w:rsidRPr="00EC545A">
        <w:t>’</w:t>
      </w:r>
      <w:r w:rsidR="00E3322F" w:rsidRPr="00EC545A">
        <w:t xml:space="preserve"> (Speech delivered to Legal Service Officers and Assistant Public Prosecutors, Singapore, 10 November 2011). </w:t>
      </w:r>
    </w:p>
  </w:footnote>
  <w:footnote w:id="10">
    <w:p w14:paraId="52283D8B" w14:textId="77777777" w:rsidR="00A7580C" w:rsidRPr="00EC545A" w:rsidRDefault="00A7580C" w:rsidP="00BF0F10">
      <w:pPr>
        <w:pStyle w:val="FootnoteText"/>
      </w:pPr>
      <w:r w:rsidRPr="00EC545A">
        <w:rPr>
          <w:rStyle w:val="FootnoteReference"/>
        </w:rPr>
        <w:footnoteRef/>
      </w:r>
      <w:r w:rsidRPr="00EC545A">
        <w:t xml:space="preserve"> </w:t>
      </w:r>
      <w:r w:rsidRPr="00EC545A">
        <w:rPr>
          <w:i/>
        </w:rPr>
        <w:t xml:space="preserve">Prosecutor v </w:t>
      </w:r>
      <w:proofErr w:type="spellStart"/>
      <w:r w:rsidRPr="00EC545A">
        <w:rPr>
          <w:i/>
        </w:rPr>
        <w:t>Kordic</w:t>
      </w:r>
      <w:proofErr w:type="spellEnd"/>
      <w:r w:rsidRPr="00EC545A">
        <w:rPr>
          <w:i/>
        </w:rPr>
        <w:t xml:space="preserve"> &amp; </w:t>
      </w:r>
      <w:proofErr w:type="spellStart"/>
      <w:r w:rsidRPr="00EC545A">
        <w:rPr>
          <w:i/>
        </w:rPr>
        <w:t>Cerkez</w:t>
      </w:r>
      <w:proofErr w:type="spellEnd"/>
      <w:r w:rsidRPr="00EC545A">
        <w:rPr>
          <w:i/>
        </w:rPr>
        <w:t xml:space="preserve"> (Decision on Motions to Extend Time for Filling Appellant’s Briefs) </w:t>
      </w:r>
      <w:r w:rsidRPr="00EC545A">
        <w:t xml:space="preserve">(ICTY, Appeals Chamber, Case No IT-95-14/2, 11 May 2001) [14]; </w:t>
      </w:r>
      <w:r w:rsidRPr="00EC545A">
        <w:rPr>
          <w:i/>
          <w:iCs/>
          <w:color w:val="000000"/>
          <w:shd w:val="clear" w:color="auto" w:fill="FFFFFF"/>
        </w:rPr>
        <w:t xml:space="preserve">Prosecutor v </w:t>
      </w:r>
      <w:proofErr w:type="spellStart"/>
      <w:r w:rsidRPr="00EC545A">
        <w:rPr>
          <w:i/>
          <w:iCs/>
          <w:color w:val="000000"/>
          <w:shd w:val="clear" w:color="auto" w:fill="FFFFFF"/>
        </w:rPr>
        <w:t>Blaškic</w:t>
      </w:r>
      <w:proofErr w:type="spellEnd"/>
      <w:r w:rsidRPr="00EC545A">
        <w:rPr>
          <w:color w:val="000000"/>
          <w:shd w:val="clear" w:color="auto" w:fill="FFFFFF"/>
        </w:rPr>
        <w:t xml:space="preserve"> </w:t>
      </w:r>
      <w:r w:rsidRPr="00EC545A">
        <w:rPr>
          <w:i/>
          <w:color w:val="000000"/>
          <w:shd w:val="clear" w:color="auto" w:fill="FFFFFF"/>
        </w:rPr>
        <w:t xml:space="preserve">(Decision on the Appellant’s Motions for the Production of Material, Suspension or Extension of the Briefing Schedule, and Additional Filings) </w:t>
      </w:r>
      <w:r w:rsidRPr="00EC545A">
        <w:rPr>
          <w:color w:val="000000"/>
          <w:shd w:val="clear" w:color="auto" w:fill="FFFFFF"/>
        </w:rPr>
        <w:t xml:space="preserve">(ICTY, Appeals Chamber, Case No IT-95-14-A, 26 September 2000) [32]. </w:t>
      </w:r>
    </w:p>
  </w:footnote>
  <w:footnote w:id="11">
    <w:p w14:paraId="0B1A8843" w14:textId="77777777" w:rsidR="00A7580C" w:rsidRPr="00EC545A" w:rsidRDefault="00A7580C" w:rsidP="00907C32">
      <w:pPr>
        <w:pStyle w:val="FootnoteText"/>
      </w:pPr>
      <w:r w:rsidRPr="00EC545A">
        <w:rPr>
          <w:rStyle w:val="FootnoteReference"/>
        </w:rPr>
        <w:footnoteRef/>
      </w:r>
      <w:r w:rsidRPr="00EC545A">
        <w:t xml:space="preserve"> Anonymous, </w:t>
      </w:r>
      <w:r w:rsidRPr="00EC545A">
        <w:rPr>
          <w:i/>
        </w:rPr>
        <w:t xml:space="preserve">The Secret Barrister: Stories of the Law and How It’s Broken </w:t>
      </w:r>
      <w:r w:rsidRPr="00EC545A">
        <w:t>(MacMillan, 2018) 110.</w:t>
      </w:r>
    </w:p>
  </w:footnote>
  <w:footnote w:id="12">
    <w:p w14:paraId="1BFE1B3D" w14:textId="3784D1CE" w:rsidR="00A7580C" w:rsidRPr="00EC545A" w:rsidRDefault="00A7580C">
      <w:pPr>
        <w:pStyle w:val="FootnoteText"/>
      </w:pPr>
      <w:r w:rsidRPr="00EC545A">
        <w:rPr>
          <w:rStyle w:val="FootnoteReference"/>
        </w:rPr>
        <w:footnoteRef/>
      </w:r>
      <w:r w:rsidRPr="00EC545A">
        <w:t xml:space="preserve"> The Crown and the Attorney-General did occasionally prosecute, but they are usually for matters such as treason</w:t>
      </w:r>
      <w:r w:rsidR="00CA4ECD" w:rsidRPr="00EC545A">
        <w:t>.</w:t>
      </w:r>
    </w:p>
  </w:footnote>
  <w:footnote w:id="13">
    <w:p w14:paraId="30055A65" w14:textId="5E18583A" w:rsidR="00462A82" w:rsidRPr="00EC545A" w:rsidRDefault="00462A82">
      <w:pPr>
        <w:pStyle w:val="FootnoteText"/>
      </w:pPr>
      <w:r w:rsidRPr="00EC545A">
        <w:rPr>
          <w:rStyle w:val="FootnoteReference"/>
        </w:rPr>
        <w:footnoteRef/>
      </w:r>
      <w:r w:rsidRPr="00EC545A">
        <w:t xml:space="preserve"> </w:t>
      </w:r>
      <w:r w:rsidRPr="00EC545A">
        <w:rPr>
          <w:i/>
        </w:rPr>
        <w:t>Appeal of Murder, etc. Act 1819</w:t>
      </w:r>
      <w:r w:rsidRPr="00EC545A">
        <w:t xml:space="preserve"> (UK).</w:t>
      </w:r>
    </w:p>
  </w:footnote>
  <w:footnote w:id="14">
    <w:p w14:paraId="4148A0AE" w14:textId="766F97F3" w:rsidR="00A7580C" w:rsidRPr="00EC545A" w:rsidRDefault="00A7580C">
      <w:pPr>
        <w:pStyle w:val="FootnoteText"/>
      </w:pPr>
      <w:r w:rsidRPr="00EC545A">
        <w:rPr>
          <w:rStyle w:val="FootnoteReference"/>
        </w:rPr>
        <w:footnoteRef/>
      </w:r>
      <w:r w:rsidRPr="00EC545A">
        <w:t xml:space="preserve"> (1818) 106 ER 149.</w:t>
      </w:r>
    </w:p>
  </w:footnote>
  <w:footnote w:id="15">
    <w:p w14:paraId="30415972" w14:textId="51DA2ED7" w:rsidR="00A7580C" w:rsidRPr="00EC545A" w:rsidRDefault="00A7580C">
      <w:pPr>
        <w:pStyle w:val="FootnoteText"/>
      </w:pPr>
      <w:r w:rsidRPr="00EC545A">
        <w:rPr>
          <w:rStyle w:val="FootnoteReference"/>
        </w:rPr>
        <w:footnoteRef/>
      </w:r>
      <w:r w:rsidRPr="00EC545A">
        <w:t xml:space="preserve"> Eighth </w:t>
      </w:r>
      <w:r w:rsidR="00054C24" w:rsidRPr="00EC545A">
        <w:t>R</w:t>
      </w:r>
      <w:r w:rsidR="00F83D8B" w:rsidRPr="00EC545A">
        <w:t>eport of the Commissioners on C</w:t>
      </w:r>
      <w:r w:rsidRPr="00EC545A">
        <w:t xml:space="preserve">riminal Law, 1845. </w:t>
      </w:r>
    </w:p>
  </w:footnote>
  <w:footnote w:id="16">
    <w:p w14:paraId="531D7592" w14:textId="25D6B309" w:rsidR="00A7580C" w:rsidRPr="00EC545A" w:rsidRDefault="00A7580C">
      <w:pPr>
        <w:pStyle w:val="FootnoteText"/>
      </w:pPr>
      <w:r w:rsidRPr="00EC545A">
        <w:rPr>
          <w:rStyle w:val="FootnoteReference"/>
        </w:rPr>
        <w:footnoteRef/>
      </w:r>
      <w:r w:rsidRPr="00EC545A">
        <w:t xml:space="preserve"> </w:t>
      </w:r>
      <w:r w:rsidRPr="00EC545A">
        <w:rPr>
          <w:i/>
        </w:rPr>
        <w:t xml:space="preserve">County and Borough Police Act 1856 </w:t>
      </w:r>
      <w:r w:rsidRPr="00EC545A">
        <w:t xml:space="preserve">(UK). </w:t>
      </w:r>
    </w:p>
  </w:footnote>
  <w:footnote w:id="17">
    <w:p w14:paraId="073FDBE4" w14:textId="2F987427" w:rsidR="00A7580C" w:rsidRPr="00EC545A" w:rsidRDefault="00A7580C">
      <w:pPr>
        <w:pStyle w:val="FootnoteText"/>
      </w:pPr>
      <w:r w:rsidRPr="00EC545A">
        <w:rPr>
          <w:rStyle w:val="FootnoteReference"/>
        </w:rPr>
        <w:footnoteRef/>
      </w:r>
      <w:r w:rsidRPr="00EC545A">
        <w:t xml:space="preserve"> </w:t>
      </w:r>
      <w:r w:rsidRPr="00EC545A">
        <w:rPr>
          <w:i/>
        </w:rPr>
        <w:t xml:space="preserve">Prosecution of Offences Act 1879 </w:t>
      </w:r>
      <w:r w:rsidRPr="00EC545A">
        <w:t xml:space="preserve">(UK). </w:t>
      </w:r>
    </w:p>
  </w:footnote>
  <w:footnote w:id="18">
    <w:p w14:paraId="2F2994FB" w14:textId="2C479D89" w:rsidR="00A7580C" w:rsidRPr="00EC545A" w:rsidRDefault="00A7580C">
      <w:pPr>
        <w:pStyle w:val="FootnoteText"/>
      </w:pPr>
      <w:r w:rsidRPr="00EC545A">
        <w:rPr>
          <w:rStyle w:val="FootnoteReference"/>
        </w:rPr>
        <w:footnoteRef/>
      </w:r>
      <w:r w:rsidRPr="00EC545A">
        <w:t xml:space="preserve"> See, </w:t>
      </w:r>
      <w:proofErr w:type="spellStart"/>
      <w:r w:rsidRPr="00EC545A">
        <w:t>eg</w:t>
      </w:r>
      <w:proofErr w:type="spellEnd"/>
      <w:r w:rsidRPr="00EC545A">
        <w:t xml:space="preserve">, the unsuccessful attempt to prosecute Aung Sun Suu Kyi for a crime against humanity in </w:t>
      </w:r>
      <w:r w:rsidRPr="00EC545A">
        <w:rPr>
          <w:i/>
        </w:rPr>
        <w:t>Taylor v A-G (</w:t>
      </w:r>
      <w:proofErr w:type="spellStart"/>
      <w:r w:rsidRPr="00EC545A">
        <w:rPr>
          <w:i/>
        </w:rPr>
        <w:t>Cth</w:t>
      </w:r>
      <w:proofErr w:type="spellEnd"/>
      <w:r w:rsidRPr="00EC545A">
        <w:rPr>
          <w:i/>
        </w:rPr>
        <w:t>)</w:t>
      </w:r>
      <w:r w:rsidRPr="00EC545A">
        <w:t>,</w:t>
      </w:r>
      <w:r w:rsidR="00135009" w:rsidRPr="00EC545A">
        <w:t xml:space="preserve"> High Court case M36/2018 (reasons reserved)</w:t>
      </w:r>
      <w:r w:rsidRPr="00EC545A">
        <w:t xml:space="preserve">. </w:t>
      </w:r>
    </w:p>
  </w:footnote>
  <w:footnote w:id="19">
    <w:p w14:paraId="28E04CCB" w14:textId="421795E4" w:rsidR="00A7580C" w:rsidRPr="00EC545A" w:rsidRDefault="00A7580C">
      <w:pPr>
        <w:pStyle w:val="FootnoteText"/>
      </w:pPr>
      <w:r w:rsidRPr="00EC545A">
        <w:rPr>
          <w:rStyle w:val="FootnoteReference"/>
        </w:rPr>
        <w:footnoteRef/>
      </w:r>
      <w:r w:rsidRPr="00EC545A">
        <w:t xml:space="preserve"> </w:t>
      </w:r>
      <w:r w:rsidRPr="00EC545A">
        <w:rPr>
          <w:i/>
        </w:rPr>
        <w:t xml:space="preserve">Director of Public Prosecutions Act 1990 </w:t>
      </w:r>
      <w:r w:rsidRPr="00EC545A">
        <w:t xml:space="preserve">(ACT) s 8. </w:t>
      </w:r>
    </w:p>
  </w:footnote>
  <w:footnote w:id="20">
    <w:p w14:paraId="6CCDE87E" w14:textId="77777777" w:rsidR="00A7580C" w:rsidRPr="00EC545A" w:rsidRDefault="00A7580C">
      <w:pPr>
        <w:pStyle w:val="FootnoteText"/>
      </w:pPr>
      <w:r w:rsidRPr="00EC545A">
        <w:rPr>
          <w:rStyle w:val="FootnoteReference"/>
        </w:rPr>
        <w:footnoteRef/>
      </w:r>
      <w:r w:rsidRPr="00EC545A">
        <w:t xml:space="preserve"> </w:t>
      </w:r>
      <w:r w:rsidRPr="00EC545A">
        <w:rPr>
          <w:i/>
        </w:rPr>
        <w:t xml:space="preserve">Legal Profession Act 2006 </w:t>
      </w:r>
      <w:r w:rsidRPr="00EC545A">
        <w:t xml:space="preserve">(ACT) </w:t>
      </w:r>
      <w:proofErr w:type="spellStart"/>
      <w:r w:rsidRPr="00EC545A">
        <w:t>ss</w:t>
      </w:r>
      <w:proofErr w:type="spellEnd"/>
      <w:r w:rsidRPr="00EC545A">
        <w:t xml:space="preserve"> 28, 40, 76. </w:t>
      </w:r>
    </w:p>
  </w:footnote>
  <w:footnote w:id="21">
    <w:p w14:paraId="325D124D" w14:textId="6495EFAE" w:rsidR="00A7580C" w:rsidRPr="00EC545A" w:rsidRDefault="00A7580C">
      <w:pPr>
        <w:pStyle w:val="FootnoteText"/>
      </w:pPr>
      <w:r w:rsidRPr="00EC545A">
        <w:rPr>
          <w:rStyle w:val="FootnoteReference"/>
        </w:rPr>
        <w:footnoteRef/>
      </w:r>
      <w:r w:rsidRPr="00EC545A">
        <w:t xml:space="preserve"> </w:t>
      </w:r>
      <w:r w:rsidR="00740D57" w:rsidRPr="00EC545A">
        <w:rPr>
          <w:i/>
        </w:rPr>
        <w:t>Legal Profession (Barristers) Rules 2014</w:t>
      </w:r>
      <w:r w:rsidR="00740D57" w:rsidRPr="00EC545A">
        <w:t xml:space="preserve"> (ACT)</w:t>
      </w:r>
      <w:r w:rsidRPr="00EC545A">
        <w:rPr>
          <w:i/>
        </w:rPr>
        <w:t xml:space="preserve"> </w:t>
      </w:r>
      <w:r w:rsidRPr="00EC545A">
        <w:t xml:space="preserve">r 1; </w:t>
      </w:r>
      <w:r w:rsidRPr="00EC545A">
        <w:rPr>
          <w:i/>
        </w:rPr>
        <w:t xml:space="preserve">Legal Profession (Solicitors) Conduct Rules 2015 </w:t>
      </w:r>
      <w:r w:rsidRPr="00EC545A">
        <w:t xml:space="preserve">(ACT) r 3. </w:t>
      </w:r>
    </w:p>
  </w:footnote>
  <w:footnote w:id="22">
    <w:p w14:paraId="7657A652" w14:textId="4B4B078C" w:rsidR="00A7580C" w:rsidRPr="00EC545A" w:rsidRDefault="00A7580C" w:rsidP="000F50EF">
      <w:pPr>
        <w:pStyle w:val="FootnoteText"/>
      </w:pPr>
      <w:r w:rsidRPr="00EC545A">
        <w:rPr>
          <w:rStyle w:val="FootnoteReference"/>
        </w:rPr>
        <w:footnoteRef/>
      </w:r>
      <w:r w:rsidRPr="00EC545A">
        <w:t xml:space="preserve"> </w:t>
      </w:r>
      <w:proofErr w:type="spellStart"/>
      <w:r w:rsidR="00740D57" w:rsidRPr="00EC545A">
        <w:rPr>
          <w:i/>
        </w:rPr>
        <w:t>Whitehorn</w:t>
      </w:r>
      <w:proofErr w:type="spellEnd"/>
      <w:r w:rsidR="00740D57" w:rsidRPr="00EC545A">
        <w:rPr>
          <w:i/>
        </w:rPr>
        <w:t xml:space="preserve"> v The Queen</w:t>
      </w:r>
      <w:r w:rsidR="00740D57" w:rsidRPr="00EC545A">
        <w:t xml:space="preserve"> </w:t>
      </w:r>
      <w:r w:rsidRPr="00EC545A">
        <w:t>(1983) 152 CLR 657 at 663-664 per Deane J.</w:t>
      </w:r>
    </w:p>
  </w:footnote>
  <w:footnote w:id="23">
    <w:p w14:paraId="1B948988" w14:textId="77777777" w:rsidR="00A7580C" w:rsidRPr="00EC545A" w:rsidRDefault="00A7580C" w:rsidP="000F50EF">
      <w:pPr>
        <w:pStyle w:val="FootnoteText"/>
      </w:pPr>
      <w:r w:rsidRPr="00EC545A">
        <w:rPr>
          <w:rStyle w:val="FootnoteReference"/>
        </w:rPr>
        <w:footnoteRef/>
      </w:r>
      <w:r w:rsidRPr="00EC545A">
        <w:t xml:space="preserve"> </w:t>
      </w:r>
      <w:r w:rsidRPr="00EC545A">
        <w:rPr>
          <w:i/>
        </w:rPr>
        <w:t xml:space="preserve">R v </w:t>
      </w:r>
      <w:proofErr w:type="spellStart"/>
      <w:r w:rsidRPr="00EC545A">
        <w:rPr>
          <w:i/>
        </w:rPr>
        <w:t>Puddick</w:t>
      </w:r>
      <w:proofErr w:type="spellEnd"/>
      <w:r w:rsidRPr="00EC545A">
        <w:rPr>
          <w:i/>
        </w:rPr>
        <w:t xml:space="preserve"> </w:t>
      </w:r>
      <w:r w:rsidRPr="00EC545A">
        <w:t xml:space="preserve">(1865) 176 ER 662. </w:t>
      </w:r>
    </w:p>
  </w:footnote>
  <w:footnote w:id="24">
    <w:p w14:paraId="32333513" w14:textId="4DED0B84" w:rsidR="00431D52" w:rsidRPr="00EC545A" w:rsidRDefault="00431D52">
      <w:pPr>
        <w:pStyle w:val="FootnoteText"/>
      </w:pPr>
      <w:r w:rsidRPr="00EC545A">
        <w:rPr>
          <w:rStyle w:val="FootnoteReference"/>
        </w:rPr>
        <w:footnoteRef/>
      </w:r>
      <w:r w:rsidRPr="00EC545A">
        <w:t xml:space="preserve"> This is a personal experience told to me by an ex prosecutor in the ACT. </w:t>
      </w:r>
    </w:p>
  </w:footnote>
  <w:footnote w:id="25">
    <w:p w14:paraId="3683D6C0" w14:textId="31C115EC" w:rsidR="00431D52" w:rsidRPr="00EC545A" w:rsidRDefault="00431D52">
      <w:pPr>
        <w:pStyle w:val="FootnoteText"/>
      </w:pPr>
      <w:r w:rsidRPr="00EC545A">
        <w:rPr>
          <w:rStyle w:val="FootnoteReference"/>
        </w:rPr>
        <w:footnoteRef/>
      </w:r>
      <w:r w:rsidRPr="00EC545A">
        <w:t xml:space="preserve"> See, </w:t>
      </w:r>
      <w:proofErr w:type="spellStart"/>
      <w:r w:rsidRPr="00EC545A">
        <w:t>eg</w:t>
      </w:r>
      <w:proofErr w:type="spellEnd"/>
      <w:r w:rsidRPr="00EC545A">
        <w:t xml:space="preserve">, </w:t>
      </w:r>
      <w:r w:rsidRPr="00EC545A">
        <w:rPr>
          <w:i/>
        </w:rPr>
        <w:t xml:space="preserve">Prosecutor v </w:t>
      </w:r>
      <w:proofErr w:type="spellStart"/>
      <w:r w:rsidRPr="00EC545A">
        <w:rPr>
          <w:i/>
        </w:rPr>
        <w:t>Kordic</w:t>
      </w:r>
      <w:proofErr w:type="spellEnd"/>
      <w:r w:rsidRPr="00EC545A">
        <w:rPr>
          <w:i/>
        </w:rPr>
        <w:t xml:space="preserve"> &amp; </w:t>
      </w:r>
      <w:proofErr w:type="spellStart"/>
      <w:r w:rsidRPr="00EC545A">
        <w:rPr>
          <w:i/>
        </w:rPr>
        <w:t>Cerkez</w:t>
      </w:r>
      <w:proofErr w:type="spellEnd"/>
      <w:r w:rsidRPr="00EC545A">
        <w:rPr>
          <w:i/>
        </w:rPr>
        <w:t xml:space="preserve"> (Decision on Motions to Extend Time for Filling Appellant’s Briefs) </w:t>
      </w:r>
      <w:r w:rsidRPr="00EC545A">
        <w:t>(ICTY, Appeals Chamber, Case No IT-95-14/2, 11 May 2001) [14]</w:t>
      </w:r>
      <w:r w:rsidR="00A9123E" w:rsidRPr="00EC545A">
        <w:t>, discussed below</w:t>
      </w:r>
      <w:r w:rsidRPr="00EC545A">
        <w:t xml:space="preserve">. </w:t>
      </w:r>
    </w:p>
  </w:footnote>
  <w:footnote w:id="26">
    <w:p w14:paraId="57E1626D" w14:textId="1BC0AC80" w:rsidR="00A85197" w:rsidRPr="00EC545A" w:rsidRDefault="00A85197">
      <w:pPr>
        <w:pStyle w:val="FootnoteText"/>
      </w:pPr>
      <w:r w:rsidRPr="00EC545A">
        <w:rPr>
          <w:rStyle w:val="FootnoteReference"/>
        </w:rPr>
        <w:footnoteRef/>
      </w:r>
      <w:r w:rsidRPr="00EC545A">
        <w:t xml:space="preserve"> </w:t>
      </w:r>
      <w:r w:rsidRPr="00EC545A">
        <w:rPr>
          <w:i/>
        </w:rPr>
        <w:t xml:space="preserve">MG v The Queen </w:t>
      </w:r>
      <w:r w:rsidR="00740D57" w:rsidRPr="00EC545A">
        <w:t xml:space="preserve">(2007) </w:t>
      </w:r>
      <w:r w:rsidRPr="00EC545A">
        <w:t>69 NSWLR 20 at [28]–[29]</w:t>
      </w:r>
      <w:r w:rsidR="007274F0" w:rsidRPr="00EC545A">
        <w:t>, [46]–[47]</w:t>
      </w:r>
      <w:r w:rsidRPr="00EC545A">
        <w:t>.</w:t>
      </w:r>
    </w:p>
  </w:footnote>
  <w:footnote w:id="27">
    <w:p w14:paraId="3A710BED" w14:textId="01180320" w:rsidR="007274F0" w:rsidRPr="00EC545A" w:rsidRDefault="007274F0">
      <w:pPr>
        <w:pStyle w:val="FootnoteText"/>
      </w:pPr>
      <w:r w:rsidRPr="00EC545A">
        <w:rPr>
          <w:rStyle w:val="FootnoteReference"/>
        </w:rPr>
        <w:footnoteRef/>
      </w:r>
      <w:r w:rsidRPr="00EC545A">
        <w:t xml:space="preserve"> </w:t>
      </w:r>
      <w:r w:rsidRPr="00EC545A">
        <w:rPr>
          <w:i/>
        </w:rPr>
        <w:t xml:space="preserve">R v Livermore </w:t>
      </w:r>
      <w:r w:rsidR="00740D57" w:rsidRPr="00EC545A">
        <w:t>(2006)</w:t>
      </w:r>
      <w:r w:rsidRPr="00EC545A">
        <w:t xml:space="preserve"> 67 NSWLR 659 at [18], [33]–[36].</w:t>
      </w:r>
    </w:p>
  </w:footnote>
  <w:footnote w:id="28">
    <w:p w14:paraId="5CC7B9C7" w14:textId="5E5C9DD7" w:rsidR="007274F0" w:rsidRPr="00EC545A" w:rsidRDefault="007274F0">
      <w:pPr>
        <w:pStyle w:val="FootnoteText"/>
      </w:pPr>
      <w:r w:rsidRPr="00EC545A">
        <w:rPr>
          <w:rStyle w:val="FootnoteReference"/>
        </w:rPr>
        <w:footnoteRef/>
      </w:r>
      <w:r w:rsidRPr="00EC545A">
        <w:t xml:space="preserve"> </w:t>
      </w:r>
      <w:r w:rsidR="00740D57" w:rsidRPr="00EC545A">
        <w:t xml:space="preserve">Ibid at </w:t>
      </w:r>
      <w:r w:rsidRPr="00EC545A">
        <w:t xml:space="preserve">[38]; </w:t>
      </w:r>
      <w:r w:rsidRPr="00EC545A">
        <w:rPr>
          <w:i/>
        </w:rPr>
        <w:t xml:space="preserve">R v </w:t>
      </w:r>
      <w:proofErr w:type="spellStart"/>
      <w:r w:rsidRPr="00EC545A">
        <w:rPr>
          <w:i/>
        </w:rPr>
        <w:t>Liristis</w:t>
      </w:r>
      <w:proofErr w:type="spellEnd"/>
      <w:r w:rsidRPr="00EC545A">
        <w:rPr>
          <w:i/>
        </w:rPr>
        <w:t xml:space="preserve"> </w:t>
      </w:r>
      <w:r w:rsidRPr="00EC545A">
        <w:t>[2004] NSWCCA 287; 146 A Crim R 547 at [90]–[108].</w:t>
      </w:r>
    </w:p>
  </w:footnote>
  <w:footnote w:id="29">
    <w:p w14:paraId="7EA74D4D" w14:textId="2E08920E" w:rsidR="00A85197" w:rsidRPr="00EC545A" w:rsidRDefault="00A85197">
      <w:pPr>
        <w:pStyle w:val="FootnoteText"/>
      </w:pPr>
      <w:r w:rsidRPr="00EC545A">
        <w:rPr>
          <w:rStyle w:val="FootnoteReference"/>
        </w:rPr>
        <w:footnoteRef/>
      </w:r>
      <w:r w:rsidRPr="00EC545A">
        <w:t xml:space="preserve"> </w:t>
      </w:r>
      <w:r w:rsidR="007274F0" w:rsidRPr="00EC545A">
        <w:rPr>
          <w:i/>
        </w:rPr>
        <w:t>R</w:t>
      </w:r>
      <w:r w:rsidRPr="00EC545A">
        <w:rPr>
          <w:i/>
        </w:rPr>
        <w:t xml:space="preserve"> v TS </w:t>
      </w:r>
      <w:r w:rsidRPr="00EC545A">
        <w:t xml:space="preserve">[2004] NSWCCA 38; 144 A Crim R 124 at [3], [114]; </w:t>
      </w:r>
      <w:r w:rsidRPr="00EC545A">
        <w:rPr>
          <w:i/>
        </w:rPr>
        <w:t xml:space="preserve">MG v The Queen </w:t>
      </w:r>
      <w:r w:rsidR="00740D57" w:rsidRPr="00EC545A">
        <w:t>(</w:t>
      </w:r>
      <w:r w:rsidRPr="00EC545A">
        <w:t>2007</w:t>
      </w:r>
      <w:r w:rsidR="00740D57" w:rsidRPr="00EC545A">
        <w:t>)</w:t>
      </w:r>
      <w:r w:rsidRPr="00EC545A">
        <w:t xml:space="preserve"> 69 NSWLR 20 at [7]. </w:t>
      </w:r>
    </w:p>
  </w:footnote>
  <w:footnote w:id="30">
    <w:p w14:paraId="43A7D8C2" w14:textId="206262F9" w:rsidR="007274F0" w:rsidRPr="00EC545A" w:rsidRDefault="007274F0">
      <w:pPr>
        <w:pStyle w:val="FootnoteText"/>
      </w:pPr>
      <w:r w:rsidRPr="00EC545A">
        <w:rPr>
          <w:rStyle w:val="FootnoteReference"/>
        </w:rPr>
        <w:footnoteRef/>
      </w:r>
      <w:r w:rsidRPr="00EC545A">
        <w:t xml:space="preserve"> </w:t>
      </w:r>
      <w:r w:rsidRPr="00EC545A">
        <w:rPr>
          <w:i/>
        </w:rPr>
        <w:t xml:space="preserve">MG v The Queen </w:t>
      </w:r>
      <w:r w:rsidR="00740D57" w:rsidRPr="00EC545A">
        <w:t>(2007)</w:t>
      </w:r>
      <w:r w:rsidRPr="00EC545A">
        <w:t xml:space="preserve"> 69 NSWLR 20 at [21], [33], [45]–[46].</w:t>
      </w:r>
    </w:p>
  </w:footnote>
  <w:footnote w:id="31">
    <w:p w14:paraId="3E8B4787" w14:textId="1AD6186A" w:rsidR="007274F0" w:rsidRPr="00EC545A" w:rsidRDefault="007274F0">
      <w:pPr>
        <w:pStyle w:val="FootnoteText"/>
      </w:pPr>
      <w:r w:rsidRPr="00EC545A">
        <w:rPr>
          <w:rStyle w:val="FootnoteReference"/>
        </w:rPr>
        <w:footnoteRef/>
      </w:r>
      <w:r w:rsidRPr="00EC545A">
        <w:t xml:space="preserve"> </w:t>
      </w:r>
      <w:r w:rsidRPr="00EC545A">
        <w:rPr>
          <w:i/>
        </w:rPr>
        <w:t>R v Szabo</w:t>
      </w:r>
      <w:r w:rsidR="00431D52" w:rsidRPr="00EC545A">
        <w:t xml:space="preserve"> [2001] 2 </w:t>
      </w:r>
      <w:proofErr w:type="spellStart"/>
      <w:r w:rsidR="00431D52" w:rsidRPr="00EC545A">
        <w:t>Qd</w:t>
      </w:r>
      <w:proofErr w:type="spellEnd"/>
      <w:r w:rsidR="00431D52" w:rsidRPr="00EC545A">
        <w:t xml:space="preserve"> R 214. </w:t>
      </w:r>
    </w:p>
  </w:footnote>
  <w:footnote w:id="32">
    <w:p w14:paraId="73D872E1" w14:textId="58A2F7F1" w:rsidR="00A7580C" w:rsidRPr="00EC545A" w:rsidRDefault="00A7580C">
      <w:pPr>
        <w:pStyle w:val="FootnoteText"/>
      </w:pPr>
      <w:r w:rsidRPr="00EC545A">
        <w:rPr>
          <w:rStyle w:val="FootnoteReference"/>
        </w:rPr>
        <w:footnoteRef/>
      </w:r>
      <w:r w:rsidRPr="00EC545A">
        <w:t xml:space="preserve"> </w:t>
      </w:r>
      <w:r w:rsidR="003C21EA">
        <w:t>Danny Morgan and Sarah Farnsworth, ‘</w:t>
      </w:r>
      <w:proofErr w:type="spellStart"/>
      <w:r w:rsidR="003C21EA" w:rsidRPr="003C21EA">
        <w:t>Faruk</w:t>
      </w:r>
      <w:proofErr w:type="spellEnd"/>
      <w:r w:rsidR="003C21EA" w:rsidRPr="003C21EA">
        <w:t xml:space="preserve"> </w:t>
      </w:r>
      <w:proofErr w:type="spellStart"/>
      <w:r w:rsidR="003C21EA" w:rsidRPr="003C21EA">
        <w:t>Orman</w:t>
      </w:r>
      <w:proofErr w:type="spellEnd"/>
      <w:r w:rsidR="003C21EA" w:rsidRPr="003C21EA">
        <w:t xml:space="preserve"> walks free after murder conviction quashed over Lawyer X scandal</w:t>
      </w:r>
      <w:r w:rsidR="003C21EA">
        <w:t xml:space="preserve">’ in </w:t>
      </w:r>
      <w:r w:rsidR="003C21EA">
        <w:rPr>
          <w:i/>
        </w:rPr>
        <w:t xml:space="preserve">ABC News </w:t>
      </w:r>
      <w:r w:rsidR="003C21EA">
        <w:t>(online), 26 July 2019 &lt;</w:t>
      </w:r>
      <w:hyperlink r:id="rId1" w:history="1">
        <w:r w:rsidRPr="00EC545A">
          <w:rPr>
            <w:rStyle w:val="Hyperlink"/>
          </w:rPr>
          <w:t>https://www.abc.net.au/news/2019-07-26/faruk-orman-walks-free-over-lawyer-x-scandal/11348676</w:t>
        </w:r>
      </w:hyperlink>
      <w:r w:rsidR="003C21EA">
        <w:t>&gt;.</w:t>
      </w:r>
    </w:p>
  </w:footnote>
  <w:footnote w:id="33">
    <w:p w14:paraId="2AB253C2" w14:textId="77777777" w:rsidR="00A7580C" w:rsidRPr="00EC545A" w:rsidRDefault="00A7580C">
      <w:pPr>
        <w:pStyle w:val="FootnoteText"/>
      </w:pPr>
      <w:r w:rsidRPr="00EC545A">
        <w:rPr>
          <w:rStyle w:val="FootnoteReference"/>
        </w:rPr>
        <w:footnoteRef/>
      </w:r>
      <w:r w:rsidRPr="00EC545A">
        <w:t xml:space="preserve"> </w:t>
      </w:r>
      <w:r w:rsidRPr="00EC545A">
        <w:rPr>
          <w:i/>
        </w:rPr>
        <w:t xml:space="preserve">EF v CD </w:t>
      </w:r>
      <w:r w:rsidRPr="00EC545A">
        <w:t>[2017] VSC 361 at [13] (</w:t>
      </w:r>
      <w:proofErr w:type="spellStart"/>
      <w:r w:rsidRPr="00EC545A">
        <w:t>Ginnane</w:t>
      </w:r>
      <w:proofErr w:type="spellEnd"/>
      <w:r w:rsidRPr="00EC545A">
        <w:t xml:space="preserve"> J). </w:t>
      </w:r>
    </w:p>
  </w:footnote>
  <w:footnote w:id="34">
    <w:p w14:paraId="1644115F" w14:textId="77777777" w:rsidR="00A7580C" w:rsidRPr="00EC545A" w:rsidRDefault="00A7580C">
      <w:pPr>
        <w:pStyle w:val="FootnoteText"/>
      </w:pPr>
      <w:r w:rsidRPr="00EC545A">
        <w:rPr>
          <w:rStyle w:val="FootnoteReference"/>
        </w:rPr>
        <w:footnoteRef/>
      </w:r>
      <w:r w:rsidRPr="00EC545A">
        <w:t xml:space="preserve"> </w:t>
      </w:r>
      <w:r w:rsidRPr="00EC545A">
        <w:rPr>
          <w:i/>
        </w:rPr>
        <w:t xml:space="preserve">AB v CD; EF v CD </w:t>
      </w:r>
      <w:r w:rsidRPr="00EC545A">
        <w:t xml:space="preserve">[2018] HCA 58; 93 ALJR 59 at [10]. </w:t>
      </w:r>
    </w:p>
  </w:footnote>
  <w:footnote w:id="35">
    <w:p w14:paraId="4C5B1F76" w14:textId="77777777" w:rsidR="00A7580C" w:rsidRPr="00EC545A" w:rsidRDefault="00A7580C">
      <w:pPr>
        <w:pStyle w:val="FootnoteText"/>
      </w:pPr>
      <w:r w:rsidRPr="00EC545A">
        <w:rPr>
          <w:rStyle w:val="FootnoteReference"/>
        </w:rPr>
        <w:footnoteRef/>
      </w:r>
      <w:r w:rsidRPr="00EC545A">
        <w:t xml:space="preserve"> Ibid.</w:t>
      </w:r>
    </w:p>
  </w:footnote>
  <w:footnote w:id="36">
    <w:p w14:paraId="1266DD18" w14:textId="738F58FE" w:rsidR="00A7580C" w:rsidRPr="00EC545A" w:rsidRDefault="00A7580C" w:rsidP="00327DAC">
      <w:pPr>
        <w:pStyle w:val="FootnoteText"/>
      </w:pPr>
      <w:r w:rsidRPr="00EC545A">
        <w:rPr>
          <w:rStyle w:val="FootnoteReference"/>
        </w:rPr>
        <w:footnoteRef/>
      </w:r>
      <w:r w:rsidRPr="00EC545A">
        <w:t xml:space="preserve"> </w:t>
      </w:r>
      <w:r w:rsidRPr="00EC545A">
        <w:rPr>
          <w:i/>
          <w:iCs/>
        </w:rPr>
        <w:t xml:space="preserve">Mallard v </w:t>
      </w:r>
      <w:r w:rsidR="00A9123E" w:rsidRPr="00EC545A">
        <w:rPr>
          <w:i/>
          <w:iCs/>
        </w:rPr>
        <w:t>The Queen</w:t>
      </w:r>
      <w:r w:rsidRPr="00EC545A">
        <w:rPr>
          <w:i/>
          <w:iCs/>
        </w:rPr>
        <w:t> </w:t>
      </w:r>
      <w:r w:rsidRPr="00EC545A">
        <w:t xml:space="preserve">(2005) 224 CLR 125 at [17], citing </w:t>
      </w:r>
      <w:r w:rsidRPr="00EC545A">
        <w:rPr>
          <w:i/>
          <w:iCs/>
        </w:rPr>
        <w:t>Grey v The Queen</w:t>
      </w:r>
      <w:r w:rsidRPr="00EC545A">
        <w:t xml:space="preserve"> [2001] HCA 65; 75 ALJR 1708. </w:t>
      </w:r>
    </w:p>
  </w:footnote>
  <w:footnote w:id="37">
    <w:p w14:paraId="0F3C944C" w14:textId="77777777" w:rsidR="00A7580C" w:rsidRPr="00EC545A" w:rsidRDefault="00A7580C" w:rsidP="00327DAC">
      <w:pPr>
        <w:pStyle w:val="FootnoteText"/>
      </w:pPr>
      <w:r w:rsidRPr="00EC545A">
        <w:rPr>
          <w:rStyle w:val="FootnoteReference"/>
        </w:rPr>
        <w:footnoteRef/>
      </w:r>
      <w:r w:rsidRPr="00EC545A">
        <w:t xml:space="preserve"> See, </w:t>
      </w:r>
      <w:proofErr w:type="spellStart"/>
      <w:r w:rsidRPr="00EC545A">
        <w:t>eg</w:t>
      </w:r>
      <w:proofErr w:type="spellEnd"/>
      <w:r w:rsidRPr="00EC545A">
        <w:t xml:space="preserve">, </w:t>
      </w:r>
      <w:r w:rsidRPr="00EC545A">
        <w:rPr>
          <w:i/>
          <w:iCs/>
        </w:rPr>
        <w:t xml:space="preserve">Cannon v </w:t>
      </w:r>
      <w:proofErr w:type="spellStart"/>
      <w:r w:rsidRPr="00EC545A">
        <w:rPr>
          <w:i/>
          <w:iCs/>
        </w:rPr>
        <w:t>Tache</w:t>
      </w:r>
      <w:proofErr w:type="spellEnd"/>
      <w:r w:rsidRPr="00EC545A">
        <w:t> (2002) 5 VR 317.</w:t>
      </w:r>
    </w:p>
  </w:footnote>
  <w:footnote w:id="38">
    <w:p w14:paraId="3C2F400B" w14:textId="208FF42E" w:rsidR="00BF3166" w:rsidRPr="00EC545A" w:rsidRDefault="00BF3166">
      <w:pPr>
        <w:pStyle w:val="FootnoteText"/>
      </w:pPr>
      <w:r w:rsidRPr="00EC545A">
        <w:rPr>
          <w:rStyle w:val="FootnoteReference"/>
        </w:rPr>
        <w:footnoteRef/>
      </w:r>
      <w:r w:rsidRPr="00EC545A">
        <w:t xml:space="preserve"> </w:t>
      </w:r>
      <w:r w:rsidRPr="00EC545A">
        <w:rPr>
          <w:i/>
        </w:rPr>
        <w:t xml:space="preserve">Prosecutor v </w:t>
      </w:r>
      <w:proofErr w:type="spellStart"/>
      <w:r w:rsidRPr="00EC545A">
        <w:rPr>
          <w:i/>
        </w:rPr>
        <w:t>Kordic</w:t>
      </w:r>
      <w:proofErr w:type="spellEnd"/>
      <w:r w:rsidRPr="00EC545A">
        <w:rPr>
          <w:i/>
        </w:rPr>
        <w:t xml:space="preserve"> &amp; </w:t>
      </w:r>
      <w:proofErr w:type="spellStart"/>
      <w:r w:rsidRPr="00EC545A">
        <w:rPr>
          <w:i/>
        </w:rPr>
        <w:t>Cerkez</w:t>
      </w:r>
      <w:proofErr w:type="spellEnd"/>
      <w:r w:rsidRPr="00EC545A">
        <w:rPr>
          <w:i/>
        </w:rPr>
        <w:t xml:space="preserve"> (Decision on Motions to Extend Time for Filling Appellant’s Briefs) </w:t>
      </w:r>
      <w:r w:rsidRPr="00EC545A">
        <w:t>(ICTY, Appeals Chamber, Case No IT-95-14/2, 11 May 2001) [14].</w:t>
      </w:r>
    </w:p>
  </w:footnote>
  <w:footnote w:id="39">
    <w:p w14:paraId="6025FC3F" w14:textId="0A573727" w:rsidR="00BF3166" w:rsidRPr="00EC545A" w:rsidRDefault="00BF3166">
      <w:pPr>
        <w:pStyle w:val="FootnoteText"/>
      </w:pPr>
      <w:r w:rsidRPr="00EC545A">
        <w:rPr>
          <w:rStyle w:val="FootnoteReference"/>
        </w:rPr>
        <w:footnoteRef/>
      </w:r>
      <w:r w:rsidRPr="00EC545A">
        <w:t xml:space="preserve"> </w:t>
      </w:r>
      <w:r w:rsidRPr="00EC545A">
        <w:rPr>
          <w:i/>
        </w:rPr>
        <w:t xml:space="preserve">Prosecutor v </w:t>
      </w:r>
      <w:proofErr w:type="spellStart"/>
      <w:r w:rsidRPr="00EC545A">
        <w:rPr>
          <w:i/>
        </w:rPr>
        <w:t>Kordic</w:t>
      </w:r>
      <w:proofErr w:type="spellEnd"/>
      <w:r w:rsidRPr="00EC545A">
        <w:rPr>
          <w:i/>
        </w:rPr>
        <w:t xml:space="preserve"> &amp; </w:t>
      </w:r>
      <w:proofErr w:type="spellStart"/>
      <w:r w:rsidRPr="00EC545A">
        <w:rPr>
          <w:i/>
        </w:rPr>
        <w:t>Cerkez</w:t>
      </w:r>
      <w:proofErr w:type="spellEnd"/>
      <w:r w:rsidRPr="00EC545A">
        <w:rPr>
          <w:i/>
        </w:rPr>
        <w:t xml:space="preserve"> (Judgment) </w:t>
      </w:r>
      <w:r w:rsidRPr="00EC545A">
        <w:t xml:space="preserve">(ICTY, Appeals Chamber, Case No IT-95-14/2, 17 December 2004) </w:t>
      </w:r>
      <w:r w:rsidR="00FE3571" w:rsidRPr="00EC545A">
        <w:t xml:space="preserve">299. </w:t>
      </w:r>
    </w:p>
  </w:footnote>
  <w:footnote w:id="40">
    <w:p w14:paraId="45A93E71" w14:textId="77777777" w:rsidR="00A7580C" w:rsidRPr="00EC545A" w:rsidRDefault="00A7580C" w:rsidP="00E765CB">
      <w:pPr>
        <w:pStyle w:val="FootnoteText"/>
      </w:pPr>
      <w:r w:rsidRPr="00EC545A">
        <w:rPr>
          <w:rStyle w:val="FootnoteReference"/>
        </w:rPr>
        <w:footnoteRef/>
      </w:r>
      <w:r w:rsidRPr="00EC545A">
        <w:t xml:space="preserve"> </w:t>
      </w:r>
      <w:r w:rsidRPr="00EC545A">
        <w:rPr>
          <w:i/>
        </w:rPr>
        <w:t>Maxwell v The Queen</w:t>
      </w:r>
      <w:r w:rsidRPr="00EC545A">
        <w:t xml:space="preserve"> (1996) 184 CLR 501, 534.</w:t>
      </w:r>
    </w:p>
  </w:footnote>
  <w:footnote w:id="41">
    <w:p w14:paraId="2B468946" w14:textId="414A4C55" w:rsidR="00EE359B" w:rsidRPr="00EC545A" w:rsidRDefault="00EE359B">
      <w:pPr>
        <w:pStyle w:val="FootnoteText"/>
      </w:pPr>
      <w:r w:rsidRPr="00EC545A">
        <w:rPr>
          <w:rStyle w:val="FootnoteReference"/>
        </w:rPr>
        <w:footnoteRef/>
      </w:r>
      <w:r w:rsidRPr="00EC545A">
        <w:t xml:space="preserve"> </w:t>
      </w:r>
      <w:r w:rsidRPr="00EC545A">
        <w:rPr>
          <w:i/>
        </w:rPr>
        <w:t xml:space="preserve">MG v The Queen </w:t>
      </w:r>
      <w:r w:rsidR="00740D57" w:rsidRPr="00EC545A">
        <w:t>(</w:t>
      </w:r>
      <w:r w:rsidRPr="00EC545A">
        <w:t>2007</w:t>
      </w:r>
      <w:r w:rsidR="00740D57" w:rsidRPr="00EC545A">
        <w:t>)</w:t>
      </w:r>
      <w:r w:rsidRPr="00EC545A">
        <w:t xml:space="preserve"> 69 NSWLR 20 at [79], citing </w:t>
      </w:r>
      <w:proofErr w:type="spellStart"/>
      <w:r w:rsidRPr="00EC545A">
        <w:rPr>
          <w:i/>
        </w:rPr>
        <w:t>Whitehorn</w:t>
      </w:r>
      <w:proofErr w:type="spellEnd"/>
      <w:r w:rsidRPr="00EC545A">
        <w:rPr>
          <w:i/>
        </w:rPr>
        <w:t xml:space="preserve"> v The Queen</w:t>
      </w:r>
      <w:r w:rsidRPr="00EC545A">
        <w:t xml:space="preserve"> (1983) 152 CLR 657.</w:t>
      </w:r>
    </w:p>
  </w:footnote>
  <w:footnote w:id="42">
    <w:p w14:paraId="5ED2C350" w14:textId="77777777" w:rsidR="00A7580C" w:rsidRPr="00EC545A" w:rsidRDefault="00A7580C">
      <w:pPr>
        <w:pStyle w:val="FootnoteText"/>
      </w:pPr>
      <w:r w:rsidRPr="00EC545A">
        <w:rPr>
          <w:rStyle w:val="FootnoteReference"/>
        </w:rPr>
        <w:footnoteRef/>
      </w:r>
      <w:r w:rsidRPr="00EC545A">
        <w:t xml:space="preserve"> (1984) 154 CLR 563 at 575.</w:t>
      </w:r>
    </w:p>
  </w:footnote>
  <w:footnote w:id="43">
    <w:p w14:paraId="569BBEE9" w14:textId="77777777" w:rsidR="00A7580C" w:rsidRPr="00EC545A" w:rsidRDefault="00A7580C">
      <w:pPr>
        <w:pStyle w:val="FootnoteText"/>
      </w:pPr>
      <w:r w:rsidRPr="00EC545A">
        <w:rPr>
          <w:rStyle w:val="FootnoteReference"/>
        </w:rPr>
        <w:footnoteRef/>
      </w:r>
      <w:r w:rsidRPr="00EC545A">
        <w:t xml:space="preserve"> Ibid. </w:t>
      </w:r>
    </w:p>
  </w:footnote>
  <w:footnote w:id="44">
    <w:p w14:paraId="2FF7CB3C" w14:textId="77777777" w:rsidR="00A7580C" w:rsidRPr="00EC545A" w:rsidRDefault="00A7580C">
      <w:pPr>
        <w:pStyle w:val="FootnoteText"/>
      </w:pPr>
      <w:r w:rsidRPr="00EC545A">
        <w:rPr>
          <w:rStyle w:val="FootnoteReference"/>
        </w:rPr>
        <w:footnoteRef/>
      </w:r>
      <w:r w:rsidRPr="00EC545A">
        <w:t xml:space="preserve"> </w:t>
      </w:r>
      <w:proofErr w:type="spellStart"/>
      <w:r w:rsidRPr="00EC545A">
        <w:rPr>
          <w:i/>
        </w:rPr>
        <w:t>Whitehorn</w:t>
      </w:r>
      <w:proofErr w:type="spellEnd"/>
      <w:r w:rsidRPr="00EC545A">
        <w:rPr>
          <w:i/>
        </w:rPr>
        <w:t xml:space="preserve"> v The Queen</w:t>
      </w:r>
      <w:r w:rsidRPr="00EC545A">
        <w:t xml:space="preserve"> (1983) 152 CLR 657 at 674 per Dawson J.</w:t>
      </w:r>
    </w:p>
  </w:footnote>
  <w:footnote w:id="45">
    <w:p w14:paraId="503C876D" w14:textId="77777777" w:rsidR="00A7580C" w:rsidRPr="00EC545A" w:rsidRDefault="00A7580C">
      <w:pPr>
        <w:pStyle w:val="FootnoteText"/>
      </w:pPr>
      <w:r w:rsidRPr="00EC545A">
        <w:rPr>
          <w:rStyle w:val="FootnoteReference"/>
        </w:rPr>
        <w:footnoteRef/>
      </w:r>
      <w:r w:rsidRPr="00EC545A">
        <w:t xml:space="preserve"> </w:t>
      </w:r>
      <w:r w:rsidRPr="00EC545A">
        <w:rPr>
          <w:i/>
          <w:iCs/>
        </w:rPr>
        <w:t>Mahmood v Western Australia </w:t>
      </w:r>
      <w:r w:rsidRPr="00EC545A">
        <w:t>(2008) 232 CLR 397 at [39] per Hayne J.</w:t>
      </w:r>
    </w:p>
  </w:footnote>
  <w:footnote w:id="46">
    <w:p w14:paraId="3D243724" w14:textId="77777777" w:rsidR="00A7580C" w:rsidRPr="00EC545A" w:rsidRDefault="00A7580C">
      <w:pPr>
        <w:pStyle w:val="FootnoteText"/>
      </w:pPr>
      <w:r w:rsidRPr="00EC545A">
        <w:rPr>
          <w:rStyle w:val="FootnoteReference"/>
        </w:rPr>
        <w:footnoteRef/>
      </w:r>
      <w:r w:rsidRPr="00EC545A">
        <w:t xml:space="preserve"> </w:t>
      </w:r>
      <w:r w:rsidRPr="00EC545A">
        <w:rPr>
          <w:i/>
        </w:rPr>
        <w:t xml:space="preserve">Jack v </w:t>
      </w:r>
      <w:proofErr w:type="spellStart"/>
      <w:r w:rsidRPr="00EC545A">
        <w:rPr>
          <w:i/>
        </w:rPr>
        <w:t>Smail</w:t>
      </w:r>
      <w:proofErr w:type="spellEnd"/>
      <w:r w:rsidRPr="00EC545A">
        <w:t xml:space="preserve"> (1905) 2 CLR 684 at 695.</w:t>
      </w:r>
    </w:p>
  </w:footnote>
  <w:footnote w:id="47">
    <w:p w14:paraId="3164320D" w14:textId="77777777" w:rsidR="00A7580C" w:rsidRPr="00EC545A" w:rsidRDefault="00A7580C">
      <w:pPr>
        <w:pStyle w:val="FootnoteText"/>
      </w:pPr>
      <w:r w:rsidRPr="00EC545A">
        <w:rPr>
          <w:rStyle w:val="FootnoteReference"/>
        </w:rPr>
        <w:footnoteRef/>
      </w:r>
      <w:r w:rsidRPr="00EC545A">
        <w:t xml:space="preserve"> </w:t>
      </w:r>
      <w:r w:rsidRPr="00EC545A">
        <w:rPr>
          <w:i/>
        </w:rPr>
        <w:t xml:space="preserve">Dyers v The Queen </w:t>
      </w:r>
      <w:r w:rsidRPr="00EC545A">
        <w:t xml:space="preserve">(2002) 210 CLR 285 at [11] per </w:t>
      </w:r>
      <w:proofErr w:type="spellStart"/>
      <w:r w:rsidRPr="00EC545A">
        <w:t>Gaudron</w:t>
      </w:r>
      <w:proofErr w:type="spellEnd"/>
      <w:r w:rsidRPr="00EC545A">
        <w:t xml:space="preserve"> and Hayne JJ. </w:t>
      </w:r>
    </w:p>
  </w:footnote>
  <w:footnote w:id="48">
    <w:p w14:paraId="6BE0EB9F" w14:textId="77777777" w:rsidR="00A7580C" w:rsidRPr="00EC545A" w:rsidRDefault="00A7580C">
      <w:pPr>
        <w:pStyle w:val="FootnoteText"/>
      </w:pPr>
      <w:r w:rsidRPr="00EC545A">
        <w:rPr>
          <w:rStyle w:val="FootnoteReference"/>
        </w:rPr>
        <w:footnoteRef/>
      </w:r>
      <w:r w:rsidRPr="00EC545A">
        <w:t xml:space="preserve"> </w:t>
      </w:r>
      <w:r w:rsidRPr="00EC545A">
        <w:rPr>
          <w:i/>
        </w:rPr>
        <w:t xml:space="preserve">Evidence Act 2011 </w:t>
      </w:r>
      <w:r w:rsidRPr="00EC545A">
        <w:t xml:space="preserve">(ACT) </w:t>
      </w:r>
      <w:proofErr w:type="spellStart"/>
      <w:r w:rsidRPr="00EC545A">
        <w:t>ss</w:t>
      </w:r>
      <w:proofErr w:type="spellEnd"/>
      <w:r w:rsidRPr="00EC545A">
        <w:t xml:space="preserve"> 55, 56. </w:t>
      </w:r>
    </w:p>
  </w:footnote>
  <w:footnote w:id="49">
    <w:p w14:paraId="00C60FE7" w14:textId="4A95955B" w:rsidR="00A7580C" w:rsidRPr="00EC545A" w:rsidRDefault="00A7580C">
      <w:pPr>
        <w:pStyle w:val="FootnoteText"/>
      </w:pPr>
      <w:r w:rsidRPr="00EC545A">
        <w:rPr>
          <w:rStyle w:val="FootnoteReference"/>
        </w:rPr>
        <w:footnoteRef/>
      </w:r>
      <w:r w:rsidRPr="00EC545A">
        <w:t xml:space="preserve"> </w:t>
      </w:r>
      <w:r w:rsidR="004C34CF" w:rsidRPr="00EC545A">
        <w:t xml:space="preserve">Bai </w:t>
      </w:r>
      <w:proofErr w:type="spellStart"/>
      <w:r w:rsidR="004C34CF" w:rsidRPr="00EC545A">
        <w:t>Yaxin</w:t>
      </w:r>
      <w:proofErr w:type="spellEnd"/>
      <w:r w:rsidR="004C34CF" w:rsidRPr="00EC545A">
        <w:t xml:space="preserve">, ‘Could “robot” prosecutors become common in Chinese legal cases?’ in </w:t>
      </w:r>
      <w:r w:rsidR="004C34CF" w:rsidRPr="00EC545A">
        <w:rPr>
          <w:i/>
        </w:rPr>
        <w:t xml:space="preserve">China Plus </w:t>
      </w:r>
      <w:r w:rsidR="004C34CF" w:rsidRPr="00EC545A">
        <w:t>(online), 3 August 2017 &lt;</w:t>
      </w:r>
      <w:hyperlink r:id="rId2" w:history="1">
        <w:r w:rsidRPr="00EC545A">
          <w:rPr>
            <w:rStyle w:val="Hyperlink"/>
          </w:rPr>
          <w:t>http://chinaplus.cri.cn/news/china/9/20170803/13319.html</w:t>
        </w:r>
      </w:hyperlink>
      <w:r w:rsidR="004C34CF" w:rsidRPr="00EC545A">
        <w:rPr>
          <w:rStyle w:val="Hyperlink"/>
        </w:rPr>
        <w:t>&gt;</w:t>
      </w:r>
      <w:r w:rsidR="004C34CF" w:rsidRPr="00EC545A">
        <w:rPr>
          <w:rStyle w:val="Hyperlink"/>
          <w:color w:val="auto"/>
          <w:u w:val="none"/>
        </w:rPr>
        <w:t>;</w:t>
      </w:r>
      <w:r w:rsidR="00EC545A" w:rsidRPr="00EC545A">
        <w:rPr>
          <w:rStyle w:val="Hyperlink"/>
          <w:color w:val="auto"/>
          <w:u w:val="none"/>
        </w:rPr>
        <w:t xml:space="preserve"> </w:t>
      </w:r>
      <w:r w:rsidR="004C34CF" w:rsidRPr="00EC545A">
        <w:t xml:space="preserve">Neil Connor, ‘Legal robots deployed in China to help decide thousands of cases’ in </w:t>
      </w:r>
      <w:r w:rsidR="004C34CF" w:rsidRPr="00EC545A">
        <w:rPr>
          <w:i/>
        </w:rPr>
        <w:t xml:space="preserve">The Telegraph </w:t>
      </w:r>
      <w:r w:rsidR="004C34CF" w:rsidRPr="00EC545A">
        <w:t>(online), 4 August 2017 &lt;</w:t>
      </w:r>
      <w:hyperlink r:id="rId3" w:history="1">
        <w:r w:rsidRPr="00EC545A">
          <w:rPr>
            <w:rStyle w:val="Hyperlink"/>
          </w:rPr>
          <w:t>https://www.telegraph.co.uk/news/2017/08/04/legal-robots-deployed-china-help-decide-thousands-cases/</w:t>
        </w:r>
      </w:hyperlink>
      <w:r w:rsidR="004C34CF" w:rsidRPr="00EC545A">
        <w:rPr>
          <w:rStyle w:val="Hyperlink"/>
          <w:color w:val="auto"/>
          <w:u w:val="none"/>
        </w:rPr>
        <w:t>&gt;.</w:t>
      </w:r>
    </w:p>
  </w:footnote>
  <w:footnote w:id="50">
    <w:p w14:paraId="668227BE" w14:textId="02505D1F" w:rsidR="00057063" w:rsidRPr="00EC545A" w:rsidRDefault="00057063" w:rsidP="00057063">
      <w:pPr>
        <w:pStyle w:val="FootnoteText"/>
      </w:pPr>
      <w:r w:rsidRPr="00EC545A">
        <w:rPr>
          <w:rStyle w:val="FootnoteReference"/>
        </w:rPr>
        <w:footnoteRef/>
      </w:r>
      <w:r w:rsidRPr="00EC545A">
        <w:t xml:space="preserve"> Terrence McCoy, ‘China scored 99.9 percent conviction rate last year’ in </w:t>
      </w:r>
      <w:r w:rsidRPr="00EC545A">
        <w:rPr>
          <w:i/>
        </w:rPr>
        <w:t>The Washington Post</w:t>
      </w:r>
      <w:r w:rsidRPr="00EC545A">
        <w:t xml:space="preserve"> (online), 11 March 2014 &lt; </w:t>
      </w:r>
      <w:hyperlink r:id="rId4" w:history="1">
        <w:r w:rsidRPr="00EC545A">
          <w:rPr>
            <w:rStyle w:val="Hyperlink"/>
          </w:rPr>
          <w:t>https://www.washingtonpost.com/news/morning-mix/wp/2014/03/11/china-scored-99-9-percent-conviction-rate-last-year/?noredirect=on&amp;utm_term=.239c7fe8185d</w:t>
        </w:r>
      </w:hyperlink>
      <w:r w:rsidRPr="00EC545A">
        <w:t>&gt;.</w:t>
      </w:r>
    </w:p>
  </w:footnote>
  <w:footnote w:id="51">
    <w:p w14:paraId="7D1AFB67" w14:textId="0571AC5D" w:rsidR="003B3489" w:rsidRPr="00EC545A" w:rsidRDefault="003B3489" w:rsidP="003B3489">
      <w:pPr>
        <w:pStyle w:val="FootnoteText"/>
      </w:pPr>
      <w:r w:rsidRPr="00EC545A">
        <w:rPr>
          <w:rStyle w:val="FootnoteReference"/>
        </w:rPr>
        <w:footnoteRef/>
      </w:r>
      <w:r w:rsidRPr="00EC545A">
        <w:t xml:space="preserve"> </w:t>
      </w:r>
      <w:r w:rsidR="001A3862" w:rsidRPr="00EC545A">
        <w:t xml:space="preserve">Keir </w:t>
      </w:r>
      <w:proofErr w:type="spellStart"/>
      <w:r w:rsidR="001A3862" w:rsidRPr="00EC545A">
        <w:t>Starmer</w:t>
      </w:r>
      <w:proofErr w:type="spellEnd"/>
      <w:r w:rsidR="001A3862" w:rsidRPr="00EC545A">
        <w:t xml:space="preserve">, </w:t>
      </w:r>
      <w:r w:rsidR="001A3862" w:rsidRPr="00EC545A">
        <w:rPr>
          <w:i/>
        </w:rPr>
        <w:t>Legal Action Group Annual Lecture 2013</w:t>
      </w:r>
      <w:r w:rsidR="001A3862" w:rsidRPr="00EC545A">
        <w:t xml:space="preserve">, </w:t>
      </w:r>
      <w:r w:rsidRPr="00EC545A">
        <w:t>quoted in</w:t>
      </w:r>
      <w:r w:rsidR="001A3862" w:rsidRPr="00EC545A">
        <w:t xml:space="preserve"> Kim Evans, ‘Keir </w:t>
      </w:r>
      <w:proofErr w:type="spellStart"/>
      <w:r w:rsidR="001A3862" w:rsidRPr="00EC545A">
        <w:t>Starmer</w:t>
      </w:r>
      <w:proofErr w:type="spellEnd"/>
      <w:r w:rsidR="001A3862" w:rsidRPr="00EC545A">
        <w:t xml:space="preserve"> on “prosecutorial discretion”’ in </w:t>
      </w:r>
      <w:r w:rsidR="001A3862" w:rsidRPr="00EC545A">
        <w:rPr>
          <w:i/>
        </w:rPr>
        <w:t xml:space="preserve">The Justice Gap </w:t>
      </w:r>
      <w:r w:rsidR="001A3862" w:rsidRPr="00EC545A">
        <w:t>(online), 6 December 2013,</w:t>
      </w:r>
      <w:r w:rsidRPr="00EC545A">
        <w:t xml:space="preserve"> </w:t>
      </w:r>
      <w:r w:rsidR="001A3862" w:rsidRPr="00EC545A">
        <w:t>&lt;</w:t>
      </w:r>
      <w:hyperlink r:id="rId5" w:history="1">
        <w:r w:rsidRPr="00EC545A">
          <w:rPr>
            <w:rStyle w:val="Hyperlink"/>
          </w:rPr>
          <w:t>https://www.thejusticegap.com/keir-starmer-prosecutorial-discretion/</w:t>
        </w:r>
      </w:hyperlink>
      <w:r w:rsidR="001A3862" w:rsidRPr="00EC545A">
        <w:rPr>
          <w:rStyle w:val="Hyperlink"/>
          <w:color w:val="auto"/>
          <w:u w:val="none"/>
        </w:rPr>
        <w:t>&gt;.</w:t>
      </w:r>
    </w:p>
  </w:footnote>
  <w:footnote w:id="52">
    <w:p w14:paraId="25D251F9" w14:textId="451DB762" w:rsidR="00A7580C" w:rsidRPr="00EC545A" w:rsidRDefault="00A7580C">
      <w:pPr>
        <w:pStyle w:val="FootnoteText"/>
      </w:pPr>
      <w:r w:rsidRPr="00EC545A">
        <w:rPr>
          <w:rStyle w:val="FootnoteReference"/>
        </w:rPr>
        <w:footnoteRef/>
      </w:r>
      <w:r w:rsidRPr="00EC545A">
        <w:t xml:space="preserve"> </w:t>
      </w:r>
      <w:r w:rsidRPr="00EC545A">
        <w:rPr>
          <w:i/>
        </w:rPr>
        <w:t xml:space="preserve">R (Purdy) v DPP </w:t>
      </w:r>
      <w:r w:rsidR="00057063" w:rsidRPr="00EC545A">
        <w:t xml:space="preserve">[2009] UKHL 45; </w:t>
      </w:r>
      <w:r w:rsidR="00057063" w:rsidRPr="00EC545A">
        <w:rPr>
          <w:color w:val="000000"/>
        </w:rPr>
        <w:t>[2010] AC 345.</w:t>
      </w:r>
    </w:p>
  </w:footnote>
  <w:footnote w:id="53">
    <w:p w14:paraId="59AC9AE9" w14:textId="1798ECCC" w:rsidR="00057063" w:rsidRPr="00EC545A" w:rsidRDefault="00057063">
      <w:pPr>
        <w:pStyle w:val="FootnoteText"/>
      </w:pPr>
      <w:r w:rsidRPr="00EC545A">
        <w:rPr>
          <w:rStyle w:val="FootnoteReference"/>
        </w:rPr>
        <w:footnoteRef/>
      </w:r>
      <w:r w:rsidRPr="00EC545A">
        <w:t xml:space="preserve"> </w:t>
      </w:r>
      <w:r w:rsidRPr="00EC545A">
        <w:rPr>
          <w:i/>
        </w:rPr>
        <w:t xml:space="preserve">Suicide Act 1961 </w:t>
      </w:r>
      <w:r w:rsidRPr="00EC545A">
        <w:t>(UK).</w:t>
      </w:r>
    </w:p>
  </w:footnote>
  <w:footnote w:id="54">
    <w:p w14:paraId="52403587" w14:textId="19D50B5D" w:rsidR="00A7580C" w:rsidRPr="00EC545A" w:rsidRDefault="00A7580C" w:rsidP="00DC5564">
      <w:pPr>
        <w:pStyle w:val="FootnoteText"/>
        <w:rPr>
          <w:color w:val="0000FF"/>
          <w:u w:val="single"/>
        </w:rPr>
      </w:pPr>
      <w:r w:rsidRPr="00EC545A">
        <w:rPr>
          <w:rStyle w:val="FootnoteReference"/>
        </w:rPr>
        <w:footnoteRef/>
      </w:r>
      <w:r w:rsidR="001A3862" w:rsidRPr="00EC545A">
        <w:t xml:space="preserve"> Decision of Neville Shane Drumgold, Director of Public Prosecutions ACT in </w:t>
      </w:r>
      <w:r w:rsidR="001A3862" w:rsidRPr="00EC545A">
        <w:rPr>
          <w:i/>
        </w:rPr>
        <w:t xml:space="preserve">Police v O </w:t>
      </w:r>
      <w:r w:rsidR="001A3862" w:rsidRPr="00EC545A">
        <w:t>(CC2019/3260) (28 June 2019), &lt;</w:t>
      </w:r>
      <w:hyperlink r:id="rId6" w:history="1">
        <w:r w:rsidRPr="00EC545A">
          <w:rPr>
            <w:rStyle w:val="Hyperlink"/>
          </w:rPr>
          <w:t>https://www.dpp.act.gov.au/__data/assets/pdf_file/0007/1382353/Police-v-O-DPP-Statement-of-Reasons.pdf</w:t>
        </w:r>
      </w:hyperlink>
      <w:r w:rsidR="001A3862" w:rsidRPr="00EC545A">
        <w:rPr>
          <w:rStyle w:val="Hyperlink"/>
          <w:color w:val="auto"/>
          <w:u w:val="none"/>
        </w:rPr>
        <w:t>&gt;.</w:t>
      </w:r>
    </w:p>
  </w:footnote>
  <w:footnote w:id="55">
    <w:p w14:paraId="510ED2DD" w14:textId="1A4D0F42" w:rsidR="003E3AE4" w:rsidRPr="00EC545A" w:rsidRDefault="003E3AE4" w:rsidP="003E3AE4">
      <w:pPr>
        <w:pStyle w:val="FootnoteText"/>
      </w:pPr>
      <w:r w:rsidRPr="00EC545A">
        <w:rPr>
          <w:rStyle w:val="FootnoteReference"/>
        </w:rPr>
        <w:footnoteRef/>
      </w:r>
      <w:r w:rsidRPr="00EC545A">
        <w:t xml:space="preserve"> </w:t>
      </w:r>
      <w:r w:rsidR="001A3862" w:rsidRPr="00EC545A">
        <w:t>Africa Criminal Justice Reform, ‘The independence and structure of the prosecuting authority’ (Factsheet 12), February 2019, &lt;</w:t>
      </w:r>
      <w:hyperlink r:id="rId7" w:history="1">
        <w:r w:rsidRPr="00EC545A">
          <w:rPr>
            <w:rStyle w:val="Hyperlink"/>
          </w:rPr>
          <w:t>https://acjr.org.za/resource-centre/fact-sheet-12-history-and-structure-of-the-npa.pdf</w:t>
        </w:r>
      </w:hyperlink>
      <w:r w:rsidR="001A3862" w:rsidRPr="00EC545A">
        <w:rPr>
          <w:rStyle w:val="Hyperlink"/>
          <w:color w:val="auto"/>
          <w:u w:val="none"/>
        </w:rPr>
        <w:t>&gt;</w:t>
      </w:r>
      <w:r w:rsidR="001A3862" w:rsidRPr="00EC545A">
        <w:t>,</w:t>
      </w:r>
      <w:r w:rsidRPr="00EC545A">
        <w:t xml:space="preserve"> 1</w:t>
      </w:r>
      <w:r w:rsidR="001A3862" w:rsidRPr="00EC545A">
        <w:t>.</w:t>
      </w:r>
    </w:p>
  </w:footnote>
  <w:footnote w:id="56">
    <w:p w14:paraId="0452530A" w14:textId="678FB3C6" w:rsidR="00A7580C" w:rsidRPr="00EC545A" w:rsidRDefault="00A7580C" w:rsidP="00FC53F1">
      <w:pPr>
        <w:pStyle w:val="FootnoteText"/>
      </w:pPr>
      <w:r w:rsidRPr="00EC545A">
        <w:rPr>
          <w:rStyle w:val="FootnoteReference"/>
        </w:rPr>
        <w:footnoteRef/>
      </w:r>
      <w:r w:rsidRPr="00EC545A">
        <w:t xml:space="preserve"> Ibid </w:t>
      </w:r>
      <w:r w:rsidR="00EC545A" w:rsidRPr="00EC545A">
        <w:t xml:space="preserve">at </w:t>
      </w:r>
      <w:r w:rsidRPr="00EC545A">
        <w:t>2</w:t>
      </w:r>
      <w:r w:rsidR="00541B70" w:rsidRPr="00EC545A">
        <w:t>.</w:t>
      </w:r>
    </w:p>
  </w:footnote>
  <w:footnote w:id="57">
    <w:p w14:paraId="3F61F2D2" w14:textId="0FF89DE5" w:rsidR="005D036E" w:rsidRPr="00EC545A" w:rsidRDefault="005D036E" w:rsidP="005D036E">
      <w:pPr>
        <w:pStyle w:val="FootnoteText"/>
      </w:pPr>
      <w:r w:rsidRPr="00EC545A">
        <w:rPr>
          <w:rStyle w:val="FootnoteReference"/>
        </w:rPr>
        <w:footnoteRef/>
      </w:r>
      <w:r w:rsidRPr="00EC545A">
        <w:t xml:space="preserve"> </w:t>
      </w:r>
      <w:r w:rsidRPr="00EC545A">
        <w:rPr>
          <w:i/>
        </w:rPr>
        <w:t xml:space="preserve">National Prosecuting Authority Act 1998 </w:t>
      </w:r>
      <w:r w:rsidRPr="00EC545A">
        <w:t xml:space="preserve">(South </w:t>
      </w:r>
      <w:r w:rsidR="00740D57" w:rsidRPr="00EC545A">
        <w:t>Africa</w:t>
      </w:r>
      <w:r w:rsidRPr="00EC545A">
        <w:t xml:space="preserve">) </w:t>
      </w:r>
      <w:proofErr w:type="spellStart"/>
      <w:r w:rsidRPr="00EC545A">
        <w:t>ss</w:t>
      </w:r>
      <w:proofErr w:type="spellEnd"/>
      <w:r w:rsidRPr="00EC545A">
        <w:t xml:space="preserve"> 12(4), 12(6); </w:t>
      </w:r>
      <w:r w:rsidRPr="00EC545A">
        <w:rPr>
          <w:i/>
        </w:rPr>
        <w:t>Corruption Watch v President of South Africa</w:t>
      </w:r>
      <w:r w:rsidRPr="00EC545A">
        <w:t xml:space="preserve"> [2018] ZACC 23 </w:t>
      </w:r>
      <w:r w:rsidR="00740D57" w:rsidRPr="00EC545A">
        <w:t xml:space="preserve">(Constitutional Court) </w:t>
      </w:r>
      <w:r w:rsidRPr="00EC545A">
        <w:t>at [36]–[48].</w:t>
      </w:r>
    </w:p>
  </w:footnote>
  <w:footnote w:id="58">
    <w:p w14:paraId="2BAD4040" w14:textId="54C79B5C" w:rsidR="005D036E" w:rsidRPr="00EC545A" w:rsidRDefault="005D036E" w:rsidP="005D036E">
      <w:pPr>
        <w:pStyle w:val="FootnoteText"/>
      </w:pPr>
      <w:r w:rsidRPr="00EC545A">
        <w:rPr>
          <w:rStyle w:val="FootnoteReference"/>
        </w:rPr>
        <w:footnoteRef/>
      </w:r>
      <w:r w:rsidRPr="00EC545A">
        <w:t xml:space="preserve"> </w:t>
      </w:r>
      <w:r w:rsidRPr="00EC545A">
        <w:rPr>
          <w:i/>
        </w:rPr>
        <w:t>Corruption Watch v President of South Africa</w:t>
      </w:r>
      <w:r w:rsidRPr="00EC545A">
        <w:t xml:space="preserve"> [2018] ZACC 23</w:t>
      </w:r>
      <w:r w:rsidR="00740D57" w:rsidRPr="00EC545A">
        <w:t xml:space="preserve"> (Constitutional Court) </w:t>
      </w:r>
      <w:r w:rsidRPr="00EC545A">
        <w:t>at [45].</w:t>
      </w:r>
    </w:p>
  </w:footnote>
  <w:footnote w:id="59">
    <w:p w14:paraId="3086A88C" w14:textId="1A411967" w:rsidR="005D036E" w:rsidRPr="00EC545A" w:rsidRDefault="005D036E" w:rsidP="005D036E">
      <w:pPr>
        <w:pStyle w:val="FootnoteText"/>
      </w:pPr>
      <w:r w:rsidRPr="00EC545A">
        <w:rPr>
          <w:rStyle w:val="FootnoteReference"/>
        </w:rPr>
        <w:footnoteRef/>
      </w:r>
      <w:r w:rsidRPr="00EC545A">
        <w:t xml:space="preserve"> </w:t>
      </w:r>
      <w:r w:rsidR="00740D57" w:rsidRPr="00EC545A">
        <w:t>Ibid</w:t>
      </w:r>
      <w:r w:rsidRPr="00EC545A">
        <w:t xml:space="preserve"> at [43], </w:t>
      </w:r>
      <w:r w:rsidRPr="00EC545A">
        <w:rPr>
          <w:iCs/>
          <w:shd w:val="clear" w:color="auto" w:fill="FFFFFF"/>
        </w:rPr>
        <w:t>quoting</w:t>
      </w:r>
      <w:r w:rsidRPr="00EC545A">
        <w:rPr>
          <w:i/>
          <w:iCs/>
          <w:shd w:val="clear" w:color="auto" w:fill="FFFFFF"/>
        </w:rPr>
        <w:t xml:space="preserve"> Helen </w:t>
      </w:r>
      <w:proofErr w:type="spellStart"/>
      <w:r w:rsidRPr="00EC545A">
        <w:rPr>
          <w:i/>
          <w:iCs/>
          <w:shd w:val="clear" w:color="auto" w:fill="FFFFFF"/>
        </w:rPr>
        <w:t>Suzman</w:t>
      </w:r>
      <w:proofErr w:type="spellEnd"/>
      <w:r w:rsidRPr="00EC545A">
        <w:rPr>
          <w:i/>
          <w:iCs/>
          <w:shd w:val="clear" w:color="auto" w:fill="FFFFFF"/>
        </w:rPr>
        <w:t xml:space="preserve"> Foundation v President of South Africa; </w:t>
      </w:r>
      <w:r w:rsidRPr="00EC545A">
        <w:rPr>
          <w:iCs/>
          <w:shd w:val="clear" w:color="auto" w:fill="FFFFFF"/>
        </w:rPr>
        <w:t xml:space="preserve">[2014] ZACC 32; [2015] 2 SA 1 </w:t>
      </w:r>
      <w:r w:rsidR="00740D57" w:rsidRPr="00EC545A">
        <w:t xml:space="preserve">(Constitutional Court) </w:t>
      </w:r>
      <w:r w:rsidRPr="00EC545A">
        <w:rPr>
          <w:iCs/>
          <w:shd w:val="clear" w:color="auto" w:fill="FFFFFF"/>
        </w:rPr>
        <w:t xml:space="preserve">at </w:t>
      </w:r>
      <w:r w:rsidRPr="00EC545A">
        <w:rPr>
          <w:shd w:val="clear" w:color="auto" w:fill="FFFFFF"/>
        </w:rPr>
        <w:t>[81].</w:t>
      </w:r>
    </w:p>
  </w:footnote>
  <w:footnote w:id="60">
    <w:p w14:paraId="41DC442C" w14:textId="2A6605C2" w:rsidR="00A7580C" w:rsidRPr="00EC545A" w:rsidRDefault="00A7580C">
      <w:pPr>
        <w:pStyle w:val="FootnoteText"/>
      </w:pPr>
      <w:r w:rsidRPr="00EC545A">
        <w:rPr>
          <w:rStyle w:val="FootnoteReference"/>
        </w:rPr>
        <w:footnoteRef/>
      </w:r>
      <w:r w:rsidRPr="00EC545A">
        <w:t xml:space="preserve"> </w:t>
      </w:r>
      <w:r w:rsidR="00740D57" w:rsidRPr="00EC545A">
        <w:t xml:space="preserve">Ibid </w:t>
      </w:r>
      <w:r w:rsidRPr="00EC545A">
        <w:t xml:space="preserve">at [19]. </w:t>
      </w:r>
    </w:p>
  </w:footnote>
  <w:footnote w:id="61">
    <w:p w14:paraId="22D39150" w14:textId="38713A80" w:rsidR="00A7580C" w:rsidRPr="00EC545A" w:rsidRDefault="00A7580C" w:rsidP="00A27A9C">
      <w:pPr>
        <w:pStyle w:val="FootnoteText"/>
      </w:pPr>
      <w:r w:rsidRPr="00EC545A">
        <w:rPr>
          <w:rStyle w:val="FootnoteReference"/>
        </w:rPr>
        <w:footnoteRef/>
      </w:r>
      <w:r w:rsidRPr="00EC545A">
        <w:t xml:space="preserve"> Cathleen Powell, ‘Court fixes some of the flaws in South Africa’s prosecuting authority’ in The Conversation (online), 16 August 2018</w:t>
      </w:r>
      <w:r w:rsidR="00A27A9C" w:rsidRPr="00EC545A">
        <w:t>,</w:t>
      </w:r>
      <w:r w:rsidRPr="00EC545A">
        <w:t xml:space="preserve"> &lt;</w:t>
      </w:r>
      <w:hyperlink r:id="rId8" w:history="1">
        <w:r w:rsidR="0021234A" w:rsidRPr="00EC545A">
          <w:rPr>
            <w:rStyle w:val="Hyperlink"/>
          </w:rPr>
          <w:t>https://theconversation.com/court-fixes-some-of-the-flaws-in-south-africas-prosecuting-authority-101697</w:t>
        </w:r>
      </w:hyperlink>
      <w:r w:rsidRPr="00EC545A">
        <w:t xml:space="preserve">&gt;. </w:t>
      </w:r>
    </w:p>
  </w:footnote>
  <w:footnote w:id="62">
    <w:p w14:paraId="78D4C55F" w14:textId="110CE993" w:rsidR="00EF5E3D" w:rsidRPr="00EC545A" w:rsidRDefault="00EF5E3D">
      <w:pPr>
        <w:pStyle w:val="FootnoteText"/>
      </w:pPr>
      <w:r w:rsidRPr="00EC545A">
        <w:rPr>
          <w:rStyle w:val="FootnoteReference"/>
        </w:rPr>
        <w:footnoteRef/>
      </w:r>
      <w:r w:rsidRPr="00EC545A">
        <w:t xml:space="preserve"> Transparency International, South</w:t>
      </w:r>
      <w:r w:rsidRPr="00EC545A">
        <w:rPr>
          <w:i/>
        </w:rPr>
        <w:t xml:space="preserve"> Africa</w:t>
      </w:r>
      <w:r w:rsidRPr="00EC545A">
        <w:t>, &lt;</w:t>
      </w:r>
      <w:hyperlink r:id="rId9" w:history="1">
        <w:r w:rsidRPr="00EC545A">
          <w:rPr>
            <w:rStyle w:val="Hyperlink"/>
          </w:rPr>
          <w:t>https://www.transparency.org/country/ZAF</w:t>
        </w:r>
      </w:hyperlink>
      <w:r w:rsidRPr="00EC545A">
        <w:rPr>
          <w:rStyle w:val="Hyperlink"/>
          <w:color w:val="auto"/>
          <w:u w:val="none"/>
        </w:rPr>
        <w:t>&gt;.</w:t>
      </w:r>
    </w:p>
  </w:footnote>
  <w:footnote w:id="63">
    <w:p w14:paraId="0FF2B751" w14:textId="30B79A04" w:rsidR="003E3AE4" w:rsidRPr="00EC545A" w:rsidRDefault="003E3AE4" w:rsidP="003E3AE4">
      <w:pPr>
        <w:pStyle w:val="FootnoteText"/>
      </w:pPr>
      <w:r w:rsidRPr="00EC545A">
        <w:rPr>
          <w:rStyle w:val="FootnoteReference"/>
        </w:rPr>
        <w:footnoteRef/>
      </w:r>
      <w:r w:rsidRPr="00EC545A">
        <w:t xml:space="preserve"> </w:t>
      </w:r>
      <w:r w:rsidR="001A3862" w:rsidRPr="00EC545A">
        <w:t xml:space="preserve">Transparency International, </w:t>
      </w:r>
      <w:r w:rsidR="001A3862" w:rsidRPr="00EC545A">
        <w:rPr>
          <w:i/>
        </w:rPr>
        <w:t>Corruption Perceptions Index 2018</w:t>
      </w:r>
      <w:r w:rsidR="001A3862" w:rsidRPr="00EC545A">
        <w:t>, &lt;</w:t>
      </w:r>
      <w:hyperlink r:id="rId10" w:history="1">
        <w:r w:rsidRPr="00EC545A">
          <w:rPr>
            <w:rStyle w:val="Hyperlink"/>
          </w:rPr>
          <w:t>https://www.transparency.org/cpi2018</w:t>
        </w:r>
      </w:hyperlink>
      <w:r w:rsidR="001A3862" w:rsidRPr="00EC545A">
        <w:t>&gt;.</w:t>
      </w:r>
    </w:p>
  </w:footnote>
  <w:footnote w:id="64">
    <w:p w14:paraId="676AF3AC" w14:textId="039B23CF" w:rsidR="00EF5E3D" w:rsidRPr="00EC545A" w:rsidRDefault="00EF5E3D" w:rsidP="00EF5E3D">
      <w:pPr>
        <w:pStyle w:val="FootnoteText"/>
      </w:pPr>
      <w:r w:rsidRPr="00EC545A">
        <w:rPr>
          <w:rStyle w:val="FootnoteReference"/>
        </w:rPr>
        <w:footnoteRef/>
      </w:r>
      <w:r w:rsidRPr="00EC545A">
        <w:t xml:space="preserve"> </w:t>
      </w:r>
      <w:r w:rsidRPr="00EC545A">
        <w:rPr>
          <w:i/>
        </w:rPr>
        <w:t>Legal Profession (Barristers) Rules 2014</w:t>
      </w:r>
      <w:r w:rsidRPr="00EC545A">
        <w:t xml:space="preserve"> (ACT) </w:t>
      </w:r>
      <w:proofErr w:type="spellStart"/>
      <w:proofErr w:type="gramStart"/>
      <w:r w:rsidRPr="00EC545A">
        <w:t>rr</w:t>
      </w:r>
      <w:proofErr w:type="spellEnd"/>
      <w:proofErr w:type="gramEnd"/>
      <w:r w:rsidRPr="00EC545A">
        <w:t xml:space="preserve"> 62-72. </w:t>
      </w:r>
    </w:p>
  </w:footnote>
  <w:footnote w:id="65">
    <w:p w14:paraId="04BB3678" w14:textId="77777777" w:rsidR="00EF5E3D" w:rsidRPr="00EC545A" w:rsidRDefault="00EF5E3D" w:rsidP="00EF5E3D">
      <w:pPr>
        <w:pStyle w:val="FootnoteText"/>
      </w:pPr>
      <w:r w:rsidRPr="00EC545A">
        <w:rPr>
          <w:rStyle w:val="FootnoteReference"/>
        </w:rPr>
        <w:footnoteRef/>
      </w:r>
      <w:r w:rsidRPr="00EC545A">
        <w:t xml:space="preserve"> Benjamin Franklin, provenance unknown.</w:t>
      </w:r>
    </w:p>
  </w:footnote>
  <w:footnote w:id="66">
    <w:p w14:paraId="650DD592" w14:textId="77777777" w:rsidR="00EF5E3D" w:rsidRPr="00EC545A" w:rsidRDefault="00EF5E3D" w:rsidP="00EF5E3D">
      <w:pPr>
        <w:pStyle w:val="FootnoteText"/>
      </w:pPr>
      <w:r w:rsidRPr="00EC545A">
        <w:rPr>
          <w:rStyle w:val="FootnoteReference"/>
        </w:rPr>
        <w:footnoteRef/>
      </w:r>
      <w:r w:rsidRPr="00EC545A">
        <w:t xml:space="preserve"> William Shakespeare, </w:t>
      </w:r>
      <w:proofErr w:type="gramStart"/>
      <w:r w:rsidRPr="00EC545A">
        <w:rPr>
          <w:i/>
        </w:rPr>
        <w:t>The</w:t>
      </w:r>
      <w:proofErr w:type="gramEnd"/>
      <w:r w:rsidRPr="00EC545A">
        <w:rPr>
          <w:i/>
        </w:rPr>
        <w:t xml:space="preserve"> Merchant of Venice</w:t>
      </w:r>
      <w:r w:rsidRPr="00EC545A">
        <w:t>, Act V, Scene 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302D"/>
    <w:multiLevelType w:val="hybridMultilevel"/>
    <w:tmpl w:val="F10E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493324"/>
    <w:multiLevelType w:val="hybridMultilevel"/>
    <w:tmpl w:val="471C4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B102B1"/>
    <w:multiLevelType w:val="hybridMultilevel"/>
    <w:tmpl w:val="31D04E52"/>
    <w:lvl w:ilvl="0" w:tplc="1430F2E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E56588"/>
    <w:multiLevelType w:val="hybridMultilevel"/>
    <w:tmpl w:val="BB92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2782A"/>
    <w:multiLevelType w:val="hybridMultilevel"/>
    <w:tmpl w:val="BB5650A4"/>
    <w:lvl w:ilvl="0" w:tplc="FA12354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B73F18"/>
    <w:multiLevelType w:val="hybridMultilevel"/>
    <w:tmpl w:val="4D4CD93C"/>
    <w:lvl w:ilvl="0" w:tplc="1A707F5C">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9829F8"/>
    <w:multiLevelType w:val="hybridMultilevel"/>
    <w:tmpl w:val="884E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C67391"/>
    <w:multiLevelType w:val="hybridMultilevel"/>
    <w:tmpl w:val="850C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A10D87"/>
    <w:multiLevelType w:val="hybridMultilevel"/>
    <w:tmpl w:val="AF6EB100"/>
    <w:lvl w:ilvl="0" w:tplc="AB8459F6">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185930-6885-46B4-ADD8-989F88D18A45}"/>
    <w:docVar w:name="dgnword-eventsink" w:val="529123056"/>
  </w:docVars>
  <w:rsids>
    <w:rsidRoot w:val="00014156"/>
    <w:rsid w:val="00000722"/>
    <w:rsid w:val="00003BFE"/>
    <w:rsid w:val="000063B3"/>
    <w:rsid w:val="00010D57"/>
    <w:rsid w:val="00014156"/>
    <w:rsid w:val="0003034D"/>
    <w:rsid w:val="000310FD"/>
    <w:rsid w:val="00050862"/>
    <w:rsid w:val="00052B00"/>
    <w:rsid w:val="00054C24"/>
    <w:rsid w:val="000569FA"/>
    <w:rsid w:val="00057063"/>
    <w:rsid w:val="00060FBF"/>
    <w:rsid w:val="00061461"/>
    <w:rsid w:val="00071155"/>
    <w:rsid w:val="00074F20"/>
    <w:rsid w:val="000A7213"/>
    <w:rsid w:val="000B2B29"/>
    <w:rsid w:val="000D2F2A"/>
    <w:rsid w:val="000F42DA"/>
    <w:rsid w:val="000F50EF"/>
    <w:rsid w:val="0011054B"/>
    <w:rsid w:val="00123020"/>
    <w:rsid w:val="00123489"/>
    <w:rsid w:val="001249B2"/>
    <w:rsid w:val="00135009"/>
    <w:rsid w:val="001354D7"/>
    <w:rsid w:val="00136EF0"/>
    <w:rsid w:val="00145611"/>
    <w:rsid w:val="001517A8"/>
    <w:rsid w:val="00161DD6"/>
    <w:rsid w:val="00171EA3"/>
    <w:rsid w:val="0017632D"/>
    <w:rsid w:val="001A0379"/>
    <w:rsid w:val="001A3790"/>
    <w:rsid w:val="001A3862"/>
    <w:rsid w:val="001A7CEF"/>
    <w:rsid w:val="001C4E13"/>
    <w:rsid w:val="001D6B60"/>
    <w:rsid w:val="001D6BD0"/>
    <w:rsid w:val="001D6FF0"/>
    <w:rsid w:val="001E1FC3"/>
    <w:rsid w:val="001F36E1"/>
    <w:rsid w:val="00207ABA"/>
    <w:rsid w:val="0021234A"/>
    <w:rsid w:val="002209C7"/>
    <w:rsid w:val="00225BDB"/>
    <w:rsid w:val="00227653"/>
    <w:rsid w:val="00233FC2"/>
    <w:rsid w:val="00237A62"/>
    <w:rsid w:val="002456FB"/>
    <w:rsid w:val="002668E1"/>
    <w:rsid w:val="002855AA"/>
    <w:rsid w:val="00290621"/>
    <w:rsid w:val="002A2DDE"/>
    <w:rsid w:val="002B266B"/>
    <w:rsid w:val="002B270B"/>
    <w:rsid w:val="002C7937"/>
    <w:rsid w:val="002D7E27"/>
    <w:rsid w:val="002F3AF5"/>
    <w:rsid w:val="00302F0C"/>
    <w:rsid w:val="00316547"/>
    <w:rsid w:val="00316607"/>
    <w:rsid w:val="00321243"/>
    <w:rsid w:val="00327DAC"/>
    <w:rsid w:val="00343B5B"/>
    <w:rsid w:val="003477BD"/>
    <w:rsid w:val="00347DE8"/>
    <w:rsid w:val="00360354"/>
    <w:rsid w:val="003616CB"/>
    <w:rsid w:val="00361A3D"/>
    <w:rsid w:val="00367A15"/>
    <w:rsid w:val="00370737"/>
    <w:rsid w:val="00373603"/>
    <w:rsid w:val="00373FC8"/>
    <w:rsid w:val="0038098F"/>
    <w:rsid w:val="00397A6F"/>
    <w:rsid w:val="003A3B7E"/>
    <w:rsid w:val="003B1F56"/>
    <w:rsid w:val="003B27DC"/>
    <w:rsid w:val="003B3489"/>
    <w:rsid w:val="003C21EA"/>
    <w:rsid w:val="003C3E29"/>
    <w:rsid w:val="003D320D"/>
    <w:rsid w:val="003E0E56"/>
    <w:rsid w:val="003E3AE4"/>
    <w:rsid w:val="003E6C72"/>
    <w:rsid w:val="003F6F49"/>
    <w:rsid w:val="00410BD4"/>
    <w:rsid w:val="0042228F"/>
    <w:rsid w:val="004309E4"/>
    <w:rsid w:val="00431D52"/>
    <w:rsid w:val="00436F84"/>
    <w:rsid w:val="004400B9"/>
    <w:rsid w:val="00455F3F"/>
    <w:rsid w:val="00462A82"/>
    <w:rsid w:val="00476373"/>
    <w:rsid w:val="004816E7"/>
    <w:rsid w:val="00491D66"/>
    <w:rsid w:val="004942B4"/>
    <w:rsid w:val="00497519"/>
    <w:rsid w:val="004B07F1"/>
    <w:rsid w:val="004C34CF"/>
    <w:rsid w:val="004D1C84"/>
    <w:rsid w:val="0050334F"/>
    <w:rsid w:val="00511C47"/>
    <w:rsid w:val="00522229"/>
    <w:rsid w:val="00523116"/>
    <w:rsid w:val="00525456"/>
    <w:rsid w:val="005316FE"/>
    <w:rsid w:val="00541B70"/>
    <w:rsid w:val="00546514"/>
    <w:rsid w:val="005513FF"/>
    <w:rsid w:val="00552500"/>
    <w:rsid w:val="00576E96"/>
    <w:rsid w:val="00580291"/>
    <w:rsid w:val="00585319"/>
    <w:rsid w:val="00592E38"/>
    <w:rsid w:val="00594124"/>
    <w:rsid w:val="00595DBB"/>
    <w:rsid w:val="005A07B1"/>
    <w:rsid w:val="005B0668"/>
    <w:rsid w:val="005B6622"/>
    <w:rsid w:val="005D036E"/>
    <w:rsid w:val="005D5633"/>
    <w:rsid w:val="005D5B02"/>
    <w:rsid w:val="005E34BA"/>
    <w:rsid w:val="005E6421"/>
    <w:rsid w:val="005F2240"/>
    <w:rsid w:val="005F23E6"/>
    <w:rsid w:val="00631602"/>
    <w:rsid w:val="00637460"/>
    <w:rsid w:val="00646282"/>
    <w:rsid w:val="0065149F"/>
    <w:rsid w:val="006678DC"/>
    <w:rsid w:val="00674CFA"/>
    <w:rsid w:val="0068096C"/>
    <w:rsid w:val="006A4427"/>
    <w:rsid w:val="006B10E2"/>
    <w:rsid w:val="006C5A5C"/>
    <w:rsid w:val="006C5CC0"/>
    <w:rsid w:val="006D1159"/>
    <w:rsid w:val="006E3452"/>
    <w:rsid w:val="006F0B81"/>
    <w:rsid w:val="006F1DD3"/>
    <w:rsid w:val="00705692"/>
    <w:rsid w:val="0071381D"/>
    <w:rsid w:val="00716749"/>
    <w:rsid w:val="007243D9"/>
    <w:rsid w:val="007274F0"/>
    <w:rsid w:val="00734F03"/>
    <w:rsid w:val="00740D57"/>
    <w:rsid w:val="00745FF2"/>
    <w:rsid w:val="00755D2C"/>
    <w:rsid w:val="00764382"/>
    <w:rsid w:val="007651AB"/>
    <w:rsid w:val="007660D7"/>
    <w:rsid w:val="00780733"/>
    <w:rsid w:val="00781D97"/>
    <w:rsid w:val="007901C7"/>
    <w:rsid w:val="007948DC"/>
    <w:rsid w:val="007A2A62"/>
    <w:rsid w:val="007A474E"/>
    <w:rsid w:val="007E028D"/>
    <w:rsid w:val="007E3CD7"/>
    <w:rsid w:val="007F6261"/>
    <w:rsid w:val="00813AF9"/>
    <w:rsid w:val="008148AC"/>
    <w:rsid w:val="008271CA"/>
    <w:rsid w:val="00837575"/>
    <w:rsid w:val="00852E6B"/>
    <w:rsid w:val="00854DDB"/>
    <w:rsid w:val="008649FB"/>
    <w:rsid w:val="008677D9"/>
    <w:rsid w:val="00871FF7"/>
    <w:rsid w:val="00875E1A"/>
    <w:rsid w:val="00885FEF"/>
    <w:rsid w:val="00890F19"/>
    <w:rsid w:val="008940D7"/>
    <w:rsid w:val="008A1649"/>
    <w:rsid w:val="008A71AF"/>
    <w:rsid w:val="008C3B12"/>
    <w:rsid w:val="008D0327"/>
    <w:rsid w:val="008E228A"/>
    <w:rsid w:val="009010D2"/>
    <w:rsid w:val="00907C32"/>
    <w:rsid w:val="009276D4"/>
    <w:rsid w:val="009434EB"/>
    <w:rsid w:val="009479AB"/>
    <w:rsid w:val="00950766"/>
    <w:rsid w:val="00951BCD"/>
    <w:rsid w:val="009611A6"/>
    <w:rsid w:val="0096713F"/>
    <w:rsid w:val="009706F8"/>
    <w:rsid w:val="009A2603"/>
    <w:rsid w:val="009A3DBB"/>
    <w:rsid w:val="009B581E"/>
    <w:rsid w:val="009C55A2"/>
    <w:rsid w:val="009C6D42"/>
    <w:rsid w:val="009F1C94"/>
    <w:rsid w:val="00A11337"/>
    <w:rsid w:val="00A205A9"/>
    <w:rsid w:val="00A271F5"/>
    <w:rsid w:val="00A2725E"/>
    <w:rsid w:val="00A27A9C"/>
    <w:rsid w:val="00A31D06"/>
    <w:rsid w:val="00A348F9"/>
    <w:rsid w:val="00A45EE2"/>
    <w:rsid w:val="00A528EB"/>
    <w:rsid w:val="00A73B7F"/>
    <w:rsid w:val="00A7580C"/>
    <w:rsid w:val="00A77CA2"/>
    <w:rsid w:val="00A8167B"/>
    <w:rsid w:val="00A85197"/>
    <w:rsid w:val="00A9123E"/>
    <w:rsid w:val="00A972D7"/>
    <w:rsid w:val="00AA3C56"/>
    <w:rsid w:val="00AB38C1"/>
    <w:rsid w:val="00AB5A36"/>
    <w:rsid w:val="00AC7790"/>
    <w:rsid w:val="00AD0ECB"/>
    <w:rsid w:val="00AD2C35"/>
    <w:rsid w:val="00AE137C"/>
    <w:rsid w:val="00AE4478"/>
    <w:rsid w:val="00AF4596"/>
    <w:rsid w:val="00B00970"/>
    <w:rsid w:val="00B04166"/>
    <w:rsid w:val="00B0738B"/>
    <w:rsid w:val="00B07AE2"/>
    <w:rsid w:val="00B20CB8"/>
    <w:rsid w:val="00B23AF2"/>
    <w:rsid w:val="00B41D7D"/>
    <w:rsid w:val="00B42466"/>
    <w:rsid w:val="00B43DB2"/>
    <w:rsid w:val="00B468DE"/>
    <w:rsid w:val="00B54556"/>
    <w:rsid w:val="00B64772"/>
    <w:rsid w:val="00B70E34"/>
    <w:rsid w:val="00B70E61"/>
    <w:rsid w:val="00B76975"/>
    <w:rsid w:val="00B9074C"/>
    <w:rsid w:val="00BA5340"/>
    <w:rsid w:val="00BA7E87"/>
    <w:rsid w:val="00BC3410"/>
    <w:rsid w:val="00BC3B8E"/>
    <w:rsid w:val="00BD4DBD"/>
    <w:rsid w:val="00BD7A39"/>
    <w:rsid w:val="00BE0EB7"/>
    <w:rsid w:val="00BF0F10"/>
    <w:rsid w:val="00BF3166"/>
    <w:rsid w:val="00C026D2"/>
    <w:rsid w:val="00C04FB1"/>
    <w:rsid w:val="00C107B3"/>
    <w:rsid w:val="00C11C4A"/>
    <w:rsid w:val="00C157D4"/>
    <w:rsid w:val="00C23A72"/>
    <w:rsid w:val="00C335C9"/>
    <w:rsid w:val="00C47FF6"/>
    <w:rsid w:val="00C5357F"/>
    <w:rsid w:val="00C54CF3"/>
    <w:rsid w:val="00C66F09"/>
    <w:rsid w:val="00C72795"/>
    <w:rsid w:val="00C72DA8"/>
    <w:rsid w:val="00C7305A"/>
    <w:rsid w:val="00C76FE4"/>
    <w:rsid w:val="00C84720"/>
    <w:rsid w:val="00C94E79"/>
    <w:rsid w:val="00CA2A5D"/>
    <w:rsid w:val="00CA4ECD"/>
    <w:rsid w:val="00CB4C9E"/>
    <w:rsid w:val="00CC11CB"/>
    <w:rsid w:val="00CD525A"/>
    <w:rsid w:val="00CE07FE"/>
    <w:rsid w:val="00D508F2"/>
    <w:rsid w:val="00D5161E"/>
    <w:rsid w:val="00D52E08"/>
    <w:rsid w:val="00D6234D"/>
    <w:rsid w:val="00D670D9"/>
    <w:rsid w:val="00D708BB"/>
    <w:rsid w:val="00D800C7"/>
    <w:rsid w:val="00D85A2C"/>
    <w:rsid w:val="00DA257A"/>
    <w:rsid w:val="00DC2C01"/>
    <w:rsid w:val="00DC5564"/>
    <w:rsid w:val="00DC618C"/>
    <w:rsid w:val="00DE0F19"/>
    <w:rsid w:val="00DE4AEF"/>
    <w:rsid w:val="00E00CFA"/>
    <w:rsid w:val="00E0138F"/>
    <w:rsid w:val="00E05EA5"/>
    <w:rsid w:val="00E14A5A"/>
    <w:rsid w:val="00E22B4F"/>
    <w:rsid w:val="00E24261"/>
    <w:rsid w:val="00E3322F"/>
    <w:rsid w:val="00E608C0"/>
    <w:rsid w:val="00E72F7D"/>
    <w:rsid w:val="00E765CB"/>
    <w:rsid w:val="00E81C40"/>
    <w:rsid w:val="00E921E6"/>
    <w:rsid w:val="00EA442B"/>
    <w:rsid w:val="00EB144A"/>
    <w:rsid w:val="00EB2738"/>
    <w:rsid w:val="00EC545A"/>
    <w:rsid w:val="00ED1863"/>
    <w:rsid w:val="00EE359B"/>
    <w:rsid w:val="00EF5E3D"/>
    <w:rsid w:val="00F12BFC"/>
    <w:rsid w:val="00F176ED"/>
    <w:rsid w:val="00F37D9C"/>
    <w:rsid w:val="00F43190"/>
    <w:rsid w:val="00F458C1"/>
    <w:rsid w:val="00F83D47"/>
    <w:rsid w:val="00F83D8B"/>
    <w:rsid w:val="00FB6A07"/>
    <w:rsid w:val="00FC0A90"/>
    <w:rsid w:val="00FC53F1"/>
    <w:rsid w:val="00FC59FE"/>
    <w:rsid w:val="00FD29E7"/>
    <w:rsid w:val="00FD74F9"/>
    <w:rsid w:val="00FE0DD6"/>
    <w:rsid w:val="00FE3072"/>
    <w:rsid w:val="00FE3571"/>
    <w:rsid w:val="00FF0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437C7"/>
  <w15:chartTrackingRefBased/>
  <w15:docId w15:val="{C7C1CDE9-4B6E-40F5-BCBD-05EE8395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10"/>
  </w:style>
  <w:style w:type="paragraph" w:styleId="Heading1">
    <w:name w:val="heading 1"/>
    <w:basedOn w:val="Normal"/>
    <w:next w:val="Normal"/>
    <w:link w:val="Heading1Char"/>
    <w:uiPriority w:val="9"/>
    <w:qFormat/>
    <w:rsid w:val="00A81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16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0F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F10"/>
    <w:rPr>
      <w:sz w:val="20"/>
      <w:szCs w:val="20"/>
    </w:rPr>
  </w:style>
  <w:style w:type="character" w:styleId="FootnoteReference">
    <w:name w:val="footnote reference"/>
    <w:basedOn w:val="DefaultParagraphFont"/>
    <w:uiPriority w:val="99"/>
    <w:semiHidden/>
    <w:unhideWhenUsed/>
    <w:rsid w:val="00BF0F10"/>
    <w:rPr>
      <w:vertAlign w:val="superscript"/>
    </w:rPr>
  </w:style>
  <w:style w:type="paragraph" w:styleId="Header">
    <w:name w:val="header"/>
    <w:basedOn w:val="Normal"/>
    <w:link w:val="HeaderChar"/>
    <w:uiPriority w:val="99"/>
    <w:unhideWhenUsed/>
    <w:rsid w:val="00BF0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F10"/>
  </w:style>
  <w:style w:type="paragraph" w:styleId="Footer">
    <w:name w:val="footer"/>
    <w:basedOn w:val="Normal"/>
    <w:link w:val="FooterChar"/>
    <w:uiPriority w:val="99"/>
    <w:unhideWhenUsed/>
    <w:rsid w:val="00BF0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F10"/>
  </w:style>
  <w:style w:type="paragraph" w:styleId="ListParagraph">
    <w:name w:val="List Paragraph"/>
    <w:basedOn w:val="Normal"/>
    <w:uiPriority w:val="34"/>
    <w:qFormat/>
    <w:rsid w:val="00EB144A"/>
    <w:pPr>
      <w:ind w:left="720"/>
      <w:contextualSpacing/>
    </w:pPr>
  </w:style>
  <w:style w:type="character" w:styleId="Hyperlink">
    <w:name w:val="Hyperlink"/>
    <w:basedOn w:val="DefaultParagraphFont"/>
    <w:uiPriority w:val="99"/>
    <w:unhideWhenUsed/>
    <w:rsid w:val="00373603"/>
    <w:rPr>
      <w:color w:val="0000FF"/>
      <w:u w:val="single"/>
    </w:rPr>
  </w:style>
  <w:style w:type="paragraph" w:styleId="BalloonText">
    <w:name w:val="Balloon Text"/>
    <w:basedOn w:val="Normal"/>
    <w:link w:val="BalloonTextChar"/>
    <w:uiPriority w:val="99"/>
    <w:semiHidden/>
    <w:unhideWhenUsed/>
    <w:rsid w:val="00D52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08"/>
    <w:rPr>
      <w:rFonts w:ascii="Segoe UI" w:hAnsi="Segoe UI" w:cs="Segoe UI"/>
      <w:sz w:val="18"/>
      <w:szCs w:val="18"/>
    </w:rPr>
  </w:style>
  <w:style w:type="paragraph" w:styleId="NormalWeb">
    <w:name w:val="Normal (Web)"/>
    <w:basedOn w:val="Normal"/>
    <w:uiPriority w:val="99"/>
    <w:unhideWhenUsed/>
    <w:rsid w:val="00BC3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A3DBB"/>
    <w:rPr>
      <w:sz w:val="16"/>
      <w:szCs w:val="16"/>
    </w:rPr>
  </w:style>
  <w:style w:type="paragraph" w:styleId="CommentText">
    <w:name w:val="annotation text"/>
    <w:basedOn w:val="Normal"/>
    <w:link w:val="CommentTextChar"/>
    <w:uiPriority w:val="99"/>
    <w:semiHidden/>
    <w:unhideWhenUsed/>
    <w:rsid w:val="009A3DBB"/>
    <w:pPr>
      <w:spacing w:line="240" w:lineRule="auto"/>
    </w:pPr>
    <w:rPr>
      <w:sz w:val="20"/>
      <w:szCs w:val="20"/>
    </w:rPr>
  </w:style>
  <w:style w:type="character" w:customStyle="1" w:styleId="CommentTextChar">
    <w:name w:val="Comment Text Char"/>
    <w:basedOn w:val="DefaultParagraphFont"/>
    <w:link w:val="CommentText"/>
    <w:uiPriority w:val="99"/>
    <w:semiHidden/>
    <w:rsid w:val="009A3DBB"/>
    <w:rPr>
      <w:sz w:val="20"/>
      <w:szCs w:val="20"/>
    </w:rPr>
  </w:style>
  <w:style w:type="paragraph" w:styleId="CommentSubject">
    <w:name w:val="annotation subject"/>
    <w:basedOn w:val="CommentText"/>
    <w:next w:val="CommentText"/>
    <w:link w:val="CommentSubjectChar"/>
    <w:uiPriority w:val="99"/>
    <w:semiHidden/>
    <w:unhideWhenUsed/>
    <w:rsid w:val="009A3DBB"/>
    <w:rPr>
      <w:b/>
      <w:bCs/>
    </w:rPr>
  </w:style>
  <w:style w:type="character" w:customStyle="1" w:styleId="CommentSubjectChar">
    <w:name w:val="Comment Subject Char"/>
    <w:basedOn w:val="CommentTextChar"/>
    <w:link w:val="CommentSubject"/>
    <w:uiPriority w:val="99"/>
    <w:semiHidden/>
    <w:rsid w:val="009A3DBB"/>
    <w:rPr>
      <w:b/>
      <w:bCs/>
      <w:sz w:val="20"/>
      <w:szCs w:val="20"/>
    </w:rPr>
  </w:style>
  <w:style w:type="character" w:customStyle="1" w:styleId="Heading2Char">
    <w:name w:val="Heading 2 Char"/>
    <w:basedOn w:val="DefaultParagraphFont"/>
    <w:link w:val="Heading2"/>
    <w:uiPriority w:val="9"/>
    <w:semiHidden/>
    <w:rsid w:val="00A8167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8167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C2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8217">
      <w:bodyDiv w:val="1"/>
      <w:marLeft w:val="0"/>
      <w:marRight w:val="0"/>
      <w:marTop w:val="0"/>
      <w:marBottom w:val="0"/>
      <w:divBdr>
        <w:top w:val="none" w:sz="0" w:space="0" w:color="auto"/>
        <w:left w:val="none" w:sz="0" w:space="0" w:color="auto"/>
        <w:bottom w:val="none" w:sz="0" w:space="0" w:color="auto"/>
        <w:right w:val="none" w:sz="0" w:space="0" w:color="auto"/>
      </w:divBdr>
    </w:div>
    <w:div w:id="188379576">
      <w:bodyDiv w:val="1"/>
      <w:marLeft w:val="0"/>
      <w:marRight w:val="0"/>
      <w:marTop w:val="0"/>
      <w:marBottom w:val="0"/>
      <w:divBdr>
        <w:top w:val="none" w:sz="0" w:space="0" w:color="auto"/>
        <w:left w:val="none" w:sz="0" w:space="0" w:color="auto"/>
        <w:bottom w:val="none" w:sz="0" w:space="0" w:color="auto"/>
        <w:right w:val="none" w:sz="0" w:space="0" w:color="auto"/>
      </w:divBdr>
    </w:div>
    <w:div w:id="519662281">
      <w:bodyDiv w:val="1"/>
      <w:marLeft w:val="0"/>
      <w:marRight w:val="0"/>
      <w:marTop w:val="0"/>
      <w:marBottom w:val="0"/>
      <w:divBdr>
        <w:top w:val="none" w:sz="0" w:space="0" w:color="auto"/>
        <w:left w:val="none" w:sz="0" w:space="0" w:color="auto"/>
        <w:bottom w:val="none" w:sz="0" w:space="0" w:color="auto"/>
        <w:right w:val="none" w:sz="0" w:space="0" w:color="auto"/>
      </w:divBdr>
    </w:div>
    <w:div w:id="994601956">
      <w:bodyDiv w:val="1"/>
      <w:marLeft w:val="0"/>
      <w:marRight w:val="0"/>
      <w:marTop w:val="0"/>
      <w:marBottom w:val="0"/>
      <w:divBdr>
        <w:top w:val="none" w:sz="0" w:space="0" w:color="auto"/>
        <w:left w:val="none" w:sz="0" w:space="0" w:color="auto"/>
        <w:bottom w:val="none" w:sz="0" w:space="0" w:color="auto"/>
        <w:right w:val="none" w:sz="0" w:space="0" w:color="auto"/>
      </w:divBdr>
    </w:div>
    <w:div w:id="1153334131">
      <w:bodyDiv w:val="1"/>
      <w:marLeft w:val="0"/>
      <w:marRight w:val="0"/>
      <w:marTop w:val="0"/>
      <w:marBottom w:val="0"/>
      <w:divBdr>
        <w:top w:val="none" w:sz="0" w:space="0" w:color="auto"/>
        <w:left w:val="none" w:sz="0" w:space="0" w:color="auto"/>
        <w:bottom w:val="none" w:sz="0" w:space="0" w:color="auto"/>
        <w:right w:val="none" w:sz="0" w:space="0" w:color="auto"/>
      </w:divBdr>
    </w:div>
    <w:div w:id="1829204214">
      <w:bodyDiv w:val="1"/>
      <w:marLeft w:val="0"/>
      <w:marRight w:val="0"/>
      <w:marTop w:val="0"/>
      <w:marBottom w:val="0"/>
      <w:divBdr>
        <w:top w:val="none" w:sz="0" w:space="0" w:color="auto"/>
        <w:left w:val="none" w:sz="0" w:space="0" w:color="auto"/>
        <w:bottom w:val="none" w:sz="0" w:space="0" w:color="auto"/>
        <w:right w:val="none" w:sz="0" w:space="0" w:color="auto"/>
      </w:divBdr>
    </w:div>
    <w:div w:id="1979991521">
      <w:bodyDiv w:val="1"/>
      <w:marLeft w:val="0"/>
      <w:marRight w:val="0"/>
      <w:marTop w:val="0"/>
      <w:marBottom w:val="0"/>
      <w:divBdr>
        <w:top w:val="none" w:sz="0" w:space="0" w:color="auto"/>
        <w:left w:val="none" w:sz="0" w:space="0" w:color="auto"/>
        <w:bottom w:val="none" w:sz="0" w:space="0" w:color="auto"/>
        <w:right w:val="none" w:sz="0" w:space="0" w:color="auto"/>
      </w:divBdr>
    </w:div>
    <w:div w:id="21062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heconversation.com/court-fixes-some-of-the-flaws-in-south-africas-prosecuting-authority-101697" TargetMode="External"/><Relationship Id="rId3" Type="http://schemas.openxmlformats.org/officeDocument/2006/relationships/hyperlink" Target="https://www.telegraph.co.uk/news/2017/08/04/legal-robots-deployed-china-help-decide-thousands-cases/" TargetMode="External"/><Relationship Id="rId7" Type="http://schemas.openxmlformats.org/officeDocument/2006/relationships/hyperlink" Target="https://acjr.org.za/resource-centre/fact-sheet-12-history-and-structure-of-the-npa.pdf" TargetMode="External"/><Relationship Id="rId2" Type="http://schemas.openxmlformats.org/officeDocument/2006/relationships/hyperlink" Target="http://chinaplus.cri.cn/news/china/9/20170803/13319.html" TargetMode="External"/><Relationship Id="rId1" Type="http://schemas.openxmlformats.org/officeDocument/2006/relationships/hyperlink" Target="https://www.abc.net.au/news/2019-07-26/faruk-orman-walks-free-over-lawyer-x-scandal/11348676" TargetMode="External"/><Relationship Id="rId6" Type="http://schemas.openxmlformats.org/officeDocument/2006/relationships/hyperlink" Target="https://www.dpp.act.gov.au/__data/assets/pdf_file/0007/1382353/Police-v-O-DPP-Statement-of-Reasons.pdf" TargetMode="External"/><Relationship Id="rId5" Type="http://schemas.openxmlformats.org/officeDocument/2006/relationships/hyperlink" Target="https://www.thejusticegap.com/keir-starmer-prosecutorial-discretion/" TargetMode="External"/><Relationship Id="rId10" Type="http://schemas.openxmlformats.org/officeDocument/2006/relationships/hyperlink" Target="https://www.transparency.org/cpi2018" TargetMode="External"/><Relationship Id="rId4" Type="http://schemas.openxmlformats.org/officeDocument/2006/relationships/hyperlink" Target="https://www.washingtonpost.com/news/morning-mix/wp/2014/03/11/china-scored-99-9-percent-conviction-rate-last-year/?noredirect=on&amp;utm_term=.239c7fe8185d" TargetMode="External"/><Relationship Id="rId9" Type="http://schemas.openxmlformats.org/officeDocument/2006/relationships/hyperlink" Target="https://www.transparency.org/country/Z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08FB-9099-4CB2-9928-EB263D74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10</Pages>
  <Words>4016</Words>
  <Characters>20882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Ben</dc:creator>
  <cp:keywords/>
  <dc:description/>
  <cp:lastModifiedBy>Ye, Ben</cp:lastModifiedBy>
  <cp:revision>172</cp:revision>
  <dcterms:created xsi:type="dcterms:W3CDTF">2019-07-22T01:25:00Z</dcterms:created>
  <dcterms:modified xsi:type="dcterms:W3CDTF">2019-08-05T23:51:00Z</dcterms:modified>
</cp:coreProperties>
</file>