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5573D" w14:textId="77777777" w:rsidR="00013B73" w:rsidRPr="00013B73" w:rsidRDefault="00013B73" w:rsidP="00013B73">
      <w:pPr>
        <w:jc w:val="center"/>
        <w:rPr>
          <w:b/>
          <w:sz w:val="32"/>
          <w:szCs w:val="32"/>
        </w:rPr>
      </w:pPr>
      <w:r w:rsidRPr="00013B73">
        <w:rPr>
          <w:b/>
          <w:sz w:val="32"/>
          <w:szCs w:val="32"/>
        </w:rPr>
        <w:t>The treatment order team protocol</w:t>
      </w:r>
      <w:bookmarkStart w:id="0" w:name="_GoBack"/>
      <w:bookmarkEnd w:id="0"/>
    </w:p>
    <w:p w14:paraId="59D098FF" w14:textId="77777777" w:rsidR="00013B73" w:rsidRPr="0056622B" w:rsidRDefault="00013B73" w:rsidP="00013B73">
      <w:pPr>
        <w:pStyle w:val="NoSpacing"/>
      </w:pPr>
    </w:p>
    <w:p w14:paraId="328A66AC" w14:textId="77777777" w:rsidR="00013B73" w:rsidRPr="00702662" w:rsidRDefault="00013B73" w:rsidP="00013B73">
      <w:pPr>
        <w:jc w:val="both"/>
        <w:rPr>
          <w:b/>
          <w:bCs/>
          <w:iCs/>
        </w:rPr>
      </w:pPr>
      <w:bookmarkStart w:id="1" w:name="_Toc486250522"/>
      <w:bookmarkStart w:id="2" w:name="TOCPage"/>
      <w:r w:rsidRPr="00702662">
        <w:rPr>
          <w:b/>
          <w:bCs/>
          <w:iCs/>
        </w:rPr>
        <w:t>Membership</w:t>
      </w:r>
    </w:p>
    <w:p w14:paraId="0291ADE1" w14:textId="77777777" w:rsidR="00013B73" w:rsidRPr="00702662" w:rsidRDefault="00013B73" w:rsidP="00013B73">
      <w:pPr>
        <w:spacing w:after="0" w:line="360" w:lineRule="auto"/>
        <w:jc w:val="both"/>
      </w:pPr>
      <w:r w:rsidRPr="00027A3C">
        <w:t xml:space="preserve">The treatment </w:t>
      </w:r>
      <w:r>
        <w:t xml:space="preserve">order </w:t>
      </w:r>
      <w:r w:rsidRPr="00027A3C">
        <w:t xml:space="preserve">team is established pursuant to section 80M of the </w:t>
      </w:r>
      <w:r>
        <w:rPr>
          <w:i/>
        </w:rPr>
        <w:t>Sentencing Act</w:t>
      </w:r>
      <w:r>
        <w:t>.</w:t>
      </w:r>
      <w:r w:rsidRPr="00027A3C">
        <w:t xml:space="preserve"> </w:t>
      </w:r>
      <w:r>
        <w:t>The team</w:t>
      </w:r>
      <w:r w:rsidRPr="00027A3C">
        <w:t xml:space="preserve"> consists of</w:t>
      </w:r>
      <w:r>
        <w:t>:</w:t>
      </w:r>
      <w:r w:rsidRPr="00027A3C">
        <w:t xml:space="preserve"> </w:t>
      </w:r>
      <w:r>
        <w:t>the sentencing judge, representatives of</w:t>
      </w:r>
      <w:r w:rsidRPr="00027A3C">
        <w:t xml:space="preserve"> </w:t>
      </w:r>
      <w:r>
        <w:t xml:space="preserve">the </w:t>
      </w:r>
      <w:r w:rsidRPr="00027A3C">
        <w:t>D</w:t>
      </w:r>
      <w:r>
        <w:t>irector-General Justice and Community Safety (a community corrections officer), the Director-General ACT Health (an employee of the Alcohol and other Drug Services)</w:t>
      </w:r>
      <w:r w:rsidRPr="00027A3C">
        <w:t xml:space="preserve">, the </w:t>
      </w:r>
      <w:r>
        <w:t xml:space="preserve">Office of the </w:t>
      </w:r>
      <w:r w:rsidRPr="00027A3C">
        <w:t>Dire</w:t>
      </w:r>
      <w:r>
        <w:t>ctor of Public Prosecutions (a prosecutor</w:t>
      </w:r>
      <w:r w:rsidRPr="00027A3C">
        <w:t>), the Legal Aid Commission (an employed solicitor from Legal Aid ACT)</w:t>
      </w:r>
      <w:r>
        <w:t xml:space="preserve">, and </w:t>
      </w:r>
      <w:r w:rsidRPr="00027A3C">
        <w:t>the Chief Police Officer</w:t>
      </w:r>
      <w:r>
        <w:t xml:space="preserve"> of the ACT</w:t>
      </w:r>
      <w:r w:rsidRPr="00027A3C">
        <w:t xml:space="preserve"> (an </w:t>
      </w:r>
      <w:r>
        <w:t>ACT police officer). If requested by the judge</w:t>
      </w:r>
      <w:r w:rsidRPr="00027A3C">
        <w:t xml:space="preserve">, the </w:t>
      </w:r>
      <w:r>
        <w:t>treatment team</w:t>
      </w:r>
      <w:r w:rsidRPr="00027A3C">
        <w:t xml:space="preserve"> may also include an Aboriginal Guidance Partner, a</w:t>
      </w:r>
      <w:r>
        <w:t xml:space="preserve"> clinician of ACT Mental Health Services, an</w:t>
      </w:r>
      <w:r w:rsidRPr="00027A3C">
        <w:t xml:space="preserve"> ACT</w:t>
      </w:r>
      <w:r>
        <w:t xml:space="preserve"> </w:t>
      </w:r>
      <w:r w:rsidRPr="00027A3C">
        <w:t>Housing</w:t>
      </w:r>
      <w:r>
        <w:t xml:space="preserve"> representative</w:t>
      </w:r>
      <w:r w:rsidRPr="00027A3C">
        <w:t xml:space="preserve">, </w:t>
      </w:r>
      <w:r>
        <w:t>or any other</w:t>
      </w:r>
      <w:r w:rsidRPr="00027A3C">
        <w:t xml:space="preserve"> person identified </w:t>
      </w:r>
      <w:r>
        <w:t xml:space="preserve">as necessary. </w:t>
      </w:r>
      <w:r>
        <w:rPr>
          <w:i/>
          <w:iCs/>
        </w:rPr>
        <w:t>Ex officio</w:t>
      </w:r>
      <w:r>
        <w:t xml:space="preserve"> members include the Court’s case coordinator and any Associate or Registrar allocated to the DASL.</w:t>
      </w:r>
    </w:p>
    <w:p w14:paraId="29C8389A" w14:textId="77777777" w:rsidR="00013B73" w:rsidRDefault="00013B73" w:rsidP="00013B73">
      <w:pPr>
        <w:pStyle w:val="NoSpacing"/>
        <w:jc w:val="both"/>
      </w:pPr>
    </w:p>
    <w:p w14:paraId="013037B4" w14:textId="77777777" w:rsidR="00013B73" w:rsidRPr="00702662" w:rsidRDefault="00013B73" w:rsidP="00013B73">
      <w:pPr>
        <w:pStyle w:val="BodyText"/>
        <w:ind w:left="0"/>
        <w:jc w:val="both"/>
        <w:rPr>
          <w:rFonts w:asciiTheme="minorHAnsi" w:hAnsiTheme="minorHAnsi"/>
          <w:b/>
          <w:bCs/>
          <w:iCs/>
        </w:rPr>
      </w:pPr>
      <w:r w:rsidRPr="00702662">
        <w:rPr>
          <w:rFonts w:asciiTheme="minorHAnsi" w:hAnsiTheme="minorHAnsi"/>
          <w:b/>
          <w:bCs/>
          <w:iCs/>
        </w:rPr>
        <w:t>Roles and responsibilities</w:t>
      </w:r>
    </w:p>
    <w:p w14:paraId="31D5B102" w14:textId="77777777" w:rsidR="00013B73" w:rsidRPr="00A85334" w:rsidRDefault="00013B73" w:rsidP="00013B73">
      <w:pPr>
        <w:spacing w:line="360" w:lineRule="auto"/>
        <w:jc w:val="both"/>
      </w:pPr>
      <w:r w:rsidRPr="00A85334">
        <w:t xml:space="preserve">Utilising their varied expertise, the role of the treatment </w:t>
      </w:r>
      <w:r>
        <w:t xml:space="preserve">order </w:t>
      </w:r>
      <w:r w:rsidRPr="00A85334">
        <w:t>team is to:</w:t>
      </w:r>
    </w:p>
    <w:p w14:paraId="6DF4718B" w14:textId="77777777" w:rsidR="00013B73" w:rsidRPr="00A85334" w:rsidRDefault="00013B73" w:rsidP="00013B73">
      <w:pPr>
        <w:pStyle w:val="ListParagraph"/>
        <w:numPr>
          <w:ilvl w:val="0"/>
          <w:numId w:val="2"/>
        </w:numPr>
        <w:spacing w:line="360" w:lineRule="auto"/>
        <w:jc w:val="both"/>
        <w:rPr>
          <w:b/>
          <w:szCs w:val="28"/>
        </w:rPr>
      </w:pPr>
      <w:r>
        <w:t>collaboratively formulate</w:t>
      </w:r>
      <w:r w:rsidRPr="00A85334">
        <w:t xml:space="preserve"> a treatment order following consultation with any relevant treatment provider and with the </w:t>
      </w:r>
      <w:r>
        <w:t>participant</w:t>
      </w:r>
      <w:r w:rsidRPr="00A85334">
        <w:t>’s informed consent;</w:t>
      </w:r>
    </w:p>
    <w:p w14:paraId="55B4C257" w14:textId="77777777" w:rsidR="00013B73" w:rsidRPr="00A85334" w:rsidRDefault="00013B73" w:rsidP="00013B73">
      <w:pPr>
        <w:pStyle w:val="ListParagraph"/>
        <w:numPr>
          <w:ilvl w:val="0"/>
          <w:numId w:val="2"/>
        </w:numPr>
        <w:spacing w:line="360" w:lineRule="auto"/>
        <w:jc w:val="both"/>
        <w:rPr>
          <w:b/>
          <w:szCs w:val="28"/>
        </w:rPr>
      </w:pPr>
      <w:r w:rsidRPr="00A85334">
        <w:t>administer the order by ensuring the program is and continues to be available and suitable, and make recommendations for amendment where appropriate;</w:t>
      </w:r>
    </w:p>
    <w:p w14:paraId="129067F0" w14:textId="77777777" w:rsidR="00013B73" w:rsidRPr="00A85334" w:rsidRDefault="00013B73" w:rsidP="00013B73">
      <w:pPr>
        <w:pStyle w:val="ListParagraph"/>
        <w:numPr>
          <w:ilvl w:val="0"/>
          <w:numId w:val="2"/>
        </w:numPr>
        <w:spacing w:line="360" w:lineRule="auto"/>
        <w:jc w:val="both"/>
        <w:rPr>
          <w:szCs w:val="28"/>
        </w:rPr>
      </w:pPr>
      <w:r w:rsidRPr="00A85334">
        <w:rPr>
          <w:szCs w:val="28"/>
        </w:rPr>
        <w:t xml:space="preserve">work with the </w:t>
      </w:r>
      <w:r>
        <w:rPr>
          <w:szCs w:val="28"/>
        </w:rPr>
        <w:t>participant</w:t>
      </w:r>
      <w:r w:rsidRPr="00A85334">
        <w:rPr>
          <w:szCs w:val="28"/>
        </w:rPr>
        <w:t xml:space="preserve"> to support him or her to achieve their goals within the program;</w:t>
      </w:r>
    </w:p>
    <w:p w14:paraId="48F01DFB" w14:textId="77777777" w:rsidR="00013B73" w:rsidRPr="00A85334" w:rsidRDefault="00013B73" w:rsidP="00013B73">
      <w:pPr>
        <w:pStyle w:val="ListParagraph"/>
        <w:numPr>
          <w:ilvl w:val="0"/>
          <w:numId w:val="2"/>
        </w:numPr>
        <w:spacing w:line="360" w:lineRule="auto"/>
        <w:jc w:val="both"/>
        <w:rPr>
          <w:szCs w:val="28"/>
        </w:rPr>
      </w:pPr>
      <w:r w:rsidRPr="00A85334">
        <w:rPr>
          <w:szCs w:val="28"/>
        </w:rPr>
        <w:t>assess and report on compliance with the requirements of the order</w:t>
      </w:r>
      <w:r>
        <w:rPr>
          <w:szCs w:val="28"/>
        </w:rPr>
        <w:t>;</w:t>
      </w:r>
      <w:r w:rsidRPr="00A85334">
        <w:rPr>
          <w:szCs w:val="28"/>
        </w:rPr>
        <w:t xml:space="preserve"> and</w:t>
      </w:r>
    </w:p>
    <w:p w14:paraId="3EBAFE13" w14:textId="77777777" w:rsidR="00013B73" w:rsidRPr="00A85334" w:rsidRDefault="00013B73" w:rsidP="00013B73">
      <w:pPr>
        <w:pStyle w:val="ListParagraph"/>
        <w:numPr>
          <w:ilvl w:val="0"/>
          <w:numId w:val="2"/>
        </w:numPr>
        <w:spacing w:line="360" w:lineRule="auto"/>
        <w:jc w:val="both"/>
        <w:rPr>
          <w:szCs w:val="28"/>
        </w:rPr>
      </w:pPr>
      <w:r w:rsidRPr="00A85334">
        <w:rPr>
          <w:szCs w:val="28"/>
        </w:rPr>
        <w:t>address any breach of the program conditions.</w:t>
      </w:r>
    </w:p>
    <w:p w14:paraId="26B1FB37" w14:textId="77777777" w:rsidR="00013B73" w:rsidRPr="00702662" w:rsidRDefault="00013B73" w:rsidP="00013B73">
      <w:pPr>
        <w:pStyle w:val="BodyText"/>
        <w:spacing w:after="0"/>
        <w:ind w:left="0"/>
        <w:jc w:val="both"/>
        <w:rPr>
          <w:rFonts w:asciiTheme="minorHAnsi" w:hAnsiTheme="minorHAnsi"/>
        </w:rPr>
      </w:pPr>
      <w:r w:rsidRPr="00A85334">
        <w:rPr>
          <w:rFonts w:asciiTheme="minorHAnsi" w:hAnsiTheme="minorHAnsi"/>
        </w:rPr>
        <w:t xml:space="preserve">The judge leads the treatment </w:t>
      </w:r>
      <w:r>
        <w:rPr>
          <w:rFonts w:asciiTheme="minorHAnsi" w:hAnsiTheme="minorHAnsi"/>
        </w:rPr>
        <w:t xml:space="preserve">order </w:t>
      </w:r>
      <w:r w:rsidRPr="00A85334">
        <w:rPr>
          <w:rFonts w:asciiTheme="minorHAnsi" w:hAnsiTheme="minorHAnsi"/>
        </w:rPr>
        <w:t xml:space="preserve">team and has ultimate responsibility for making decisions in relation to the program and other orders applicable to the </w:t>
      </w:r>
      <w:r>
        <w:rPr>
          <w:rFonts w:asciiTheme="minorHAnsi" w:hAnsiTheme="minorHAnsi"/>
        </w:rPr>
        <w:t>participant</w:t>
      </w:r>
      <w:r w:rsidRPr="00A85334">
        <w:rPr>
          <w:rFonts w:asciiTheme="minorHAnsi" w:hAnsiTheme="minorHAnsi"/>
        </w:rPr>
        <w:t>.</w:t>
      </w:r>
    </w:p>
    <w:p w14:paraId="14FF3E6E" w14:textId="77777777" w:rsidR="00013B73" w:rsidRDefault="00013B73" w:rsidP="00013B73">
      <w:pPr>
        <w:pStyle w:val="NoSpacing"/>
        <w:jc w:val="both"/>
      </w:pPr>
    </w:p>
    <w:p w14:paraId="1F0AC673" w14:textId="77777777" w:rsidR="00013B73" w:rsidRPr="00702662" w:rsidRDefault="00013B73" w:rsidP="00013B73">
      <w:pPr>
        <w:jc w:val="both"/>
        <w:rPr>
          <w:b/>
          <w:bCs/>
          <w:iCs/>
        </w:rPr>
      </w:pPr>
      <w:r w:rsidRPr="00702662">
        <w:rPr>
          <w:b/>
          <w:bCs/>
          <w:iCs/>
        </w:rPr>
        <w:t>Case conferencing</w:t>
      </w:r>
    </w:p>
    <w:p w14:paraId="7B6BDE00" w14:textId="77777777" w:rsidR="00013B73" w:rsidRPr="00A85334" w:rsidRDefault="00013B73" w:rsidP="00013B73">
      <w:pPr>
        <w:pStyle w:val="BodyText"/>
        <w:tabs>
          <w:tab w:val="left" w:pos="993"/>
        </w:tabs>
        <w:ind w:left="0"/>
        <w:jc w:val="both"/>
        <w:rPr>
          <w:rFonts w:asciiTheme="minorHAnsi" w:hAnsiTheme="minorHAnsi"/>
        </w:rPr>
      </w:pPr>
      <w:r>
        <w:rPr>
          <w:rFonts w:asciiTheme="minorHAnsi" w:hAnsiTheme="minorHAnsi"/>
        </w:rPr>
        <w:t xml:space="preserve">Treatment team meetings in respect to individual participants will be called </w:t>
      </w:r>
      <w:r w:rsidRPr="00D009A7">
        <w:rPr>
          <w:rFonts w:asciiTheme="minorHAnsi" w:hAnsiTheme="minorHAnsi"/>
          <w:b/>
          <w:bCs/>
        </w:rPr>
        <w:t>case conferences</w:t>
      </w:r>
      <w:r>
        <w:rPr>
          <w:rFonts w:asciiTheme="minorHAnsi" w:hAnsiTheme="minorHAnsi"/>
        </w:rPr>
        <w:t>. The j</w:t>
      </w:r>
      <w:r w:rsidRPr="00A85334">
        <w:rPr>
          <w:rFonts w:asciiTheme="minorHAnsi" w:hAnsiTheme="minorHAnsi"/>
        </w:rPr>
        <w:t xml:space="preserve">udge chairs the </w:t>
      </w:r>
      <w:r>
        <w:rPr>
          <w:rFonts w:asciiTheme="minorHAnsi" w:hAnsiTheme="minorHAnsi"/>
        </w:rPr>
        <w:t>case conferences.</w:t>
      </w:r>
      <w:r w:rsidRPr="00A85334">
        <w:rPr>
          <w:rFonts w:asciiTheme="minorHAnsi" w:hAnsiTheme="minorHAnsi"/>
        </w:rPr>
        <w:t xml:space="preserve"> </w:t>
      </w:r>
    </w:p>
    <w:p w14:paraId="743096FD" w14:textId="77777777" w:rsidR="00013B73" w:rsidRPr="00A85334" w:rsidRDefault="00013B73" w:rsidP="00013B73">
      <w:pPr>
        <w:pStyle w:val="BodyText"/>
        <w:tabs>
          <w:tab w:val="left" w:pos="993"/>
        </w:tabs>
        <w:ind w:left="0"/>
        <w:jc w:val="both"/>
        <w:rPr>
          <w:rFonts w:asciiTheme="minorHAnsi" w:hAnsiTheme="minorHAnsi"/>
        </w:rPr>
      </w:pPr>
      <w:r w:rsidRPr="00A85334">
        <w:rPr>
          <w:rFonts w:asciiTheme="minorHAnsi" w:hAnsiTheme="minorHAnsi"/>
        </w:rPr>
        <w:t xml:space="preserve">The </w:t>
      </w:r>
      <w:r>
        <w:rPr>
          <w:rFonts w:asciiTheme="minorHAnsi" w:hAnsiTheme="minorHAnsi"/>
        </w:rPr>
        <w:t>court’s case c</w:t>
      </w:r>
      <w:r w:rsidRPr="00A85334">
        <w:rPr>
          <w:rFonts w:asciiTheme="minorHAnsi" w:hAnsiTheme="minorHAnsi"/>
        </w:rPr>
        <w:t>o</w:t>
      </w:r>
      <w:r>
        <w:rPr>
          <w:rFonts w:asciiTheme="minorHAnsi" w:hAnsiTheme="minorHAnsi"/>
        </w:rPr>
        <w:t>-</w:t>
      </w:r>
      <w:r w:rsidRPr="00A85334">
        <w:rPr>
          <w:rFonts w:asciiTheme="minorHAnsi" w:hAnsiTheme="minorHAnsi"/>
        </w:rPr>
        <w:t xml:space="preserve">ordinator will provide secretariat support for </w:t>
      </w:r>
      <w:r>
        <w:rPr>
          <w:rFonts w:asciiTheme="minorHAnsi" w:hAnsiTheme="minorHAnsi"/>
        </w:rPr>
        <w:t>case conferences,</w:t>
      </w:r>
      <w:r w:rsidRPr="00A85334">
        <w:rPr>
          <w:rFonts w:asciiTheme="minorHAnsi" w:hAnsiTheme="minorHAnsi"/>
        </w:rPr>
        <w:t xml:space="preserve"> including:</w:t>
      </w:r>
    </w:p>
    <w:p w14:paraId="071D64D2" w14:textId="77777777" w:rsidR="00013B73" w:rsidRPr="00A85334" w:rsidRDefault="00013B73" w:rsidP="00013B73">
      <w:pPr>
        <w:pStyle w:val="ListParagraph"/>
        <w:numPr>
          <w:ilvl w:val="0"/>
          <w:numId w:val="2"/>
        </w:numPr>
        <w:spacing w:line="360" w:lineRule="auto"/>
        <w:jc w:val="both"/>
      </w:pPr>
      <w:r>
        <w:t xml:space="preserve">consolidation of </w:t>
      </w:r>
      <w:r w:rsidRPr="00ED2F08">
        <w:t>status reports</w:t>
      </w:r>
      <w:r>
        <w:t>;</w:t>
      </w:r>
    </w:p>
    <w:p w14:paraId="0DB177FA" w14:textId="77777777" w:rsidR="00013B73" w:rsidRPr="00A85334" w:rsidRDefault="00013B73" w:rsidP="00013B73">
      <w:pPr>
        <w:pStyle w:val="ListParagraph"/>
        <w:numPr>
          <w:ilvl w:val="0"/>
          <w:numId w:val="2"/>
        </w:numPr>
        <w:spacing w:line="360" w:lineRule="auto"/>
        <w:jc w:val="both"/>
      </w:pPr>
      <w:r w:rsidRPr="00A85334">
        <w:t xml:space="preserve">collection and distribution of any material to be considered in the </w:t>
      </w:r>
      <w:r>
        <w:t>case conference</w:t>
      </w:r>
      <w:r w:rsidRPr="00A85334">
        <w:t xml:space="preserve"> such as </w:t>
      </w:r>
      <w:r>
        <w:t>urinalysis</w:t>
      </w:r>
      <w:r w:rsidRPr="00A85334">
        <w:t xml:space="preserve"> reports; and</w:t>
      </w:r>
    </w:p>
    <w:p w14:paraId="6C546153" w14:textId="77777777" w:rsidR="00013B73" w:rsidRDefault="00013B73" w:rsidP="00013B73">
      <w:pPr>
        <w:pStyle w:val="ListParagraph"/>
        <w:numPr>
          <w:ilvl w:val="0"/>
          <w:numId w:val="2"/>
        </w:numPr>
        <w:spacing w:line="360" w:lineRule="auto"/>
        <w:jc w:val="both"/>
      </w:pPr>
      <w:r>
        <w:t xml:space="preserve">recording </w:t>
      </w:r>
      <w:r w:rsidRPr="00A85334">
        <w:t xml:space="preserve">any actions to be completed by </w:t>
      </w:r>
      <w:r>
        <w:t>treatment order team members</w:t>
      </w:r>
      <w:r w:rsidRPr="00A85334">
        <w:t>.</w:t>
      </w:r>
    </w:p>
    <w:p w14:paraId="7C268D22" w14:textId="77777777" w:rsidR="00013B73" w:rsidRDefault="00013B73" w:rsidP="00013B73">
      <w:pPr>
        <w:tabs>
          <w:tab w:val="left" w:pos="1843"/>
        </w:tabs>
        <w:spacing w:after="120" w:line="360" w:lineRule="auto"/>
        <w:jc w:val="both"/>
      </w:pPr>
      <w:r>
        <w:lastRenderedPageBreak/>
        <w:t>The judge’s associate will:</w:t>
      </w:r>
    </w:p>
    <w:p w14:paraId="6E01456A" w14:textId="77777777" w:rsidR="00013B73" w:rsidRPr="00A85334" w:rsidRDefault="00013B73" w:rsidP="00013B73">
      <w:pPr>
        <w:pStyle w:val="ListParagraph"/>
        <w:numPr>
          <w:ilvl w:val="0"/>
          <w:numId w:val="6"/>
        </w:numPr>
        <w:tabs>
          <w:tab w:val="left" w:pos="1985"/>
        </w:tabs>
        <w:spacing w:after="120" w:line="360" w:lineRule="auto"/>
        <w:ind w:left="851"/>
        <w:contextualSpacing w:val="0"/>
        <w:jc w:val="both"/>
      </w:pPr>
      <w:r w:rsidRPr="00A85334">
        <w:t>inform t</w:t>
      </w:r>
      <w:r>
        <w:t xml:space="preserve">reatment </w:t>
      </w:r>
      <w:r w:rsidRPr="00A85334">
        <w:t>t</w:t>
      </w:r>
      <w:r>
        <w:t>eam</w:t>
      </w:r>
      <w:r w:rsidRPr="00A85334">
        <w:t xml:space="preserve"> members of the </w:t>
      </w:r>
      <w:r>
        <w:t>conference times and lists;</w:t>
      </w:r>
    </w:p>
    <w:p w14:paraId="41D0DB49" w14:textId="77777777" w:rsidR="00013B73" w:rsidRPr="00A85334" w:rsidRDefault="00013B73" w:rsidP="00013B73">
      <w:pPr>
        <w:pStyle w:val="ListParagraph"/>
        <w:numPr>
          <w:ilvl w:val="0"/>
          <w:numId w:val="6"/>
        </w:numPr>
        <w:tabs>
          <w:tab w:val="left" w:pos="1985"/>
        </w:tabs>
        <w:spacing w:after="120" w:line="360" w:lineRule="auto"/>
        <w:ind w:left="851"/>
        <w:jc w:val="both"/>
      </w:pPr>
      <w:r>
        <w:t>record outcomes of court proceedings.</w:t>
      </w:r>
    </w:p>
    <w:p w14:paraId="04794907" w14:textId="77777777" w:rsidR="00013B73" w:rsidRDefault="00013B73" w:rsidP="00013B73">
      <w:pPr>
        <w:tabs>
          <w:tab w:val="left" w:pos="4111"/>
          <w:tab w:val="left" w:pos="4253"/>
          <w:tab w:val="left" w:pos="5103"/>
        </w:tabs>
        <w:spacing w:after="120" w:line="360" w:lineRule="auto"/>
        <w:ind w:right="-187"/>
        <w:jc w:val="both"/>
        <w:rPr>
          <w:i/>
        </w:rPr>
      </w:pPr>
      <w:r w:rsidRPr="00A85334">
        <w:t xml:space="preserve">At the judge’s direction, the treatment </w:t>
      </w:r>
      <w:r>
        <w:t xml:space="preserve">order </w:t>
      </w:r>
      <w:r w:rsidRPr="00A85334">
        <w:t xml:space="preserve">team may meet in respect to making, administering, amending, monitoring or cancelling a </w:t>
      </w:r>
      <w:proofErr w:type="gramStart"/>
      <w:r w:rsidRPr="00A85334">
        <w:t>particular treatment</w:t>
      </w:r>
      <w:proofErr w:type="gramEnd"/>
      <w:r w:rsidRPr="00A85334">
        <w:t xml:space="preserve"> order. T</w:t>
      </w:r>
      <w:r>
        <w:t xml:space="preserve">he treatment team will always engage </w:t>
      </w:r>
      <w:r w:rsidRPr="00A85334">
        <w:t xml:space="preserve">respectfully and aims to work collaboratively. The treatment team will, where possible, reach consensus in respect to the treatment program. Where consensus is not achievable, the treatment team will identify any contentious issues. The </w:t>
      </w:r>
      <w:r>
        <w:t>participant</w:t>
      </w:r>
      <w:r w:rsidRPr="00A85334">
        <w:t xml:space="preserve"> will be given an opportunity to be heard. The judge will determine issues as necessary to give effect to the sentence.</w:t>
      </w:r>
    </w:p>
    <w:p w14:paraId="3BF34C4A" w14:textId="77777777" w:rsidR="00013B73" w:rsidRPr="009575BC" w:rsidRDefault="00013B73" w:rsidP="00013B73">
      <w:pPr>
        <w:pStyle w:val="NoSpacing"/>
      </w:pPr>
    </w:p>
    <w:p w14:paraId="7FC275F1" w14:textId="77777777" w:rsidR="00013B73" w:rsidRPr="00A85334" w:rsidRDefault="00013B73" w:rsidP="00013B73">
      <w:pPr>
        <w:spacing w:line="360" w:lineRule="auto"/>
        <w:jc w:val="both"/>
      </w:pPr>
      <w:r w:rsidRPr="00A85334">
        <w:t xml:space="preserve">Case conferences will </w:t>
      </w:r>
      <w:r>
        <w:t xml:space="preserve">generally </w:t>
      </w:r>
      <w:r w:rsidRPr="00A85334">
        <w:t>be held:</w:t>
      </w:r>
    </w:p>
    <w:p w14:paraId="62338E31" w14:textId="77777777" w:rsidR="00013B73" w:rsidRPr="00A85334" w:rsidRDefault="00013B73" w:rsidP="00013B73">
      <w:pPr>
        <w:pStyle w:val="ListParagraph"/>
        <w:numPr>
          <w:ilvl w:val="0"/>
          <w:numId w:val="3"/>
        </w:numPr>
        <w:spacing w:line="360" w:lineRule="auto"/>
        <w:jc w:val="both"/>
      </w:pPr>
      <w:r>
        <w:t>following provision of a suitability assessment report</w:t>
      </w:r>
      <w:r w:rsidRPr="00A85334">
        <w:t xml:space="preserve"> </w:t>
      </w:r>
      <w:r>
        <w:t>and prior to the judge making a DATO;</w:t>
      </w:r>
    </w:p>
    <w:p w14:paraId="6EE2E083" w14:textId="77777777" w:rsidR="00013B73" w:rsidRPr="00A85334" w:rsidRDefault="00013B73" w:rsidP="00013B73">
      <w:pPr>
        <w:pStyle w:val="ListParagraph"/>
        <w:numPr>
          <w:ilvl w:val="0"/>
          <w:numId w:val="3"/>
        </w:numPr>
        <w:spacing w:line="360" w:lineRule="auto"/>
        <w:jc w:val="both"/>
      </w:pPr>
      <w:r w:rsidRPr="00A85334">
        <w:t xml:space="preserve">on </w:t>
      </w:r>
      <w:r>
        <w:t>each</w:t>
      </w:r>
      <w:r w:rsidRPr="00A85334">
        <w:t xml:space="preserve"> day of a</w:t>
      </w:r>
      <w:r>
        <w:t xml:space="preserve"> participant</w:t>
      </w:r>
      <w:r w:rsidRPr="00A85334">
        <w:t>’s at</w:t>
      </w:r>
      <w:r>
        <w:t>tendance at Court prior to his or her</w:t>
      </w:r>
      <w:r w:rsidRPr="00A85334">
        <w:t xml:space="preserve"> appearance;</w:t>
      </w:r>
    </w:p>
    <w:p w14:paraId="10CC0551" w14:textId="77777777" w:rsidR="00013B73" w:rsidRDefault="00013B73" w:rsidP="00013B73">
      <w:pPr>
        <w:pStyle w:val="ListParagraph"/>
        <w:numPr>
          <w:ilvl w:val="0"/>
          <w:numId w:val="3"/>
        </w:numPr>
        <w:spacing w:line="360" w:lineRule="auto"/>
        <w:jc w:val="both"/>
      </w:pPr>
      <w:r w:rsidRPr="00A85334">
        <w:t>on any other occasion as directed by the judge.</w:t>
      </w:r>
    </w:p>
    <w:p w14:paraId="7DF4B47C" w14:textId="77777777" w:rsidR="00013B73" w:rsidRPr="00A85334" w:rsidRDefault="00013B73" w:rsidP="00013B73">
      <w:pPr>
        <w:pStyle w:val="BodyText"/>
        <w:ind w:left="0"/>
        <w:jc w:val="both"/>
        <w:rPr>
          <w:rFonts w:asciiTheme="minorHAnsi" w:hAnsiTheme="minorHAnsi"/>
        </w:rPr>
      </w:pPr>
      <w:r w:rsidRPr="00A85334">
        <w:rPr>
          <w:rFonts w:asciiTheme="minorHAnsi" w:hAnsiTheme="minorHAnsi"/>
        </w:rPr>
        <w:t xml:space="preserve">At </w:t>
      </w:r>
      <w:r>
        <w:rPr>
          <w:rFonts w:asciiTheme="minorHAnsi" w:hAnsiTheme="minorHAnsi"/>
        </w:rPr>
        <w:t>case conferences</w:t>
      </w:r>
      <w:r w:rsidRPr="00A85334">
        <w:rPr>
          <w:rFonts w:asciiTheme="minorHAnsi" w:hAnsiTheme="minorHAnsi"/>
        </w:rPr>
        <w:t xml:space="preserve">, the </w:t>
      </w:r>
      <w:r>
        <w:rPr>
          <w:rFonts w:asciiTheme="minorHAnsi" w:hAnsiTheme="minorHAnsi"/>
        </w:rPr>
        <w:t>treatment order team</w:t>
      </w:r>
      <w:r w:rsidRPr="00A85334">
        <w:rPr>
          <w:rFonts w:asciiTheme="minorHAnsi" w:hAnsiTheme="minorHAnsi"/>
        </w:rPr>
        <w:t xml:space="preserve"> may discuss matters including</w:t>
      </w:r>
      <w:r>
        <w:rPr>
          <w:rFonts w:asciiTheme="minorHAnsi" w:hAnsiTheme="minorHAnsi"/>
        </w:rPr>
        <w:t xml:space="preserve"> but not limited to:</w:t>
      </w:r>
    </w:p>
    <w:p w14:paraId="2FBD04DD" w14:textId="77777777" w:rsidR="00013B73" w:rsidRDefault="00013B73" w:rsidP="00013B73">
      <w:pPr>
        <w:pStyle w:val="ListParagraph"/>
        <w:numPr>
          <w:ilvl w:val="0"/>
          <w:numId w:val="4"/>
        </w:numPr>
        <w:tabs>
          <w:tab w:val="left" w:pos="1843"/>
        </w:tabs>
        <w:spacing w:after="120" w:line="360" w:lineRule="auto"/>
        <w:jc w:val="both"/>
      </w:pPr>
      <w:r w:rsidRPr="00A85334">
        <w:t>the eligibility and suitability of potential participants;</w:t>
      </w:r>
    </w:p>
    <w:p w14:paraId="01706A08" w14:textId="77777777" w:rsidR="00013B73" w:rsidRPr="00A85334" w:rsidRDefault="00013B73" w:rsidP="00013B73">
      <w:pPr>
        <w:pStyle w:val="ListParagraph"/>
        <w:numPr>
          <w:ilvl w:val="0"/>
          <w:numId w:val="4"/>
        </w:numPr>
        <w:tabs>
          <w:tab w:val="left" w:pos="1843"/>
        </w:tabs>
        <w:spacing w:after="120" w:line="360" w:lineRule="auto"/>
        <w:jc w:val="both"/>
      </w:pPr>
      <w:r>
        <w:t xml:space="preserve">DASL </w:t>
      </w:r>
      <w:r w:rsidRPr="00A85334">
        <w:t>program capacity (i.e. the number of program places available for new participants);</w:t>
      </w:r>
    </w:p>
    <w:p w14:paraId="50A05CEB" w14:textId="77777777" w:rsidR="00013B73" w:rsidRPr="00A85334" w:rsidRDefault="00013B73" w:rsidP="00013B73">
      <w:pPr>
        <w:pStyle w:val="ListParagraph"/>
        <w:numPr>
          <w:ilvl w:val="0"/>
          <w:numId w:val="4"/>
        </w:numPr>
        <w:tabs>
          <w:tab w:val="left" w:pos="1843"/>
        </w:tabs>
        <w:spacing w:after="120" w:line="360" w:lineRule="auto"/>
        <w:jc w:val="both"/>
      </w:pPr>
      <w:r>
        <w:t xml:space="preserve">the </w:t>
      </w:r>
      <w:r w:rsidRPr="00A85334">
        <w:t>sharing</w:t>
      </w:r>
      <w:r>
        <w:t xml:space="preserve"> of</w:t>
      </w:r>
      <w:r w:rsidRPr="00A85334">
        <w:t xml:space="preserve"> relevant DATO and treatment program information and professional opinions regarding the participants and their progress;</w:t>
      </w:r>
    </w:p>
    <w:p w14:paraId="33197D10" w14:textId="77777777" w:rsidR="00013B73" w:rsidRPr="00A85334" w:rsidRDefault="00013B73" w:rsidP="00013B73">
      <w:pPr>
        <w:pStyle w:val="ListParagraph"/>
        <w:numPr>
          <w:ilvl w:val="0"/>
          <w:numId w:val="4"/>
        </w:numPr>
        <w:tabs>
          <w:tab w:val="left" w:pos="1843"/>
        </w:tabs>
        <w:spacing w:after="120" w:line="360" w:lineRule="auto"/>
        <w:jc w:val="both"/>
      </w:pPr>
      <w:r w:rsidRPr="00A85334">
        <w:t>case and sentence management plans, treatment, and support for individual participants, including any proposed amendments to plans;</w:t>
      </w:r>
    </w:p>
    <w:p w14:paraId="73DF9E02" w14:textId="77777777" w:rsidR="00013B73" w:rsidRPr="00A85334" w:rsidRDefault="00013B73" w:rsidP="00013B73">
      <w:pPr>
        <w:pStyle w:val="ListParagraph"/>
        <w:numPr>
          <w:ilvl w:val="0"/>
          <w:numId w:val="4"/>
        </w:numPr>
        <w:tabs>
          <w:tab w:val="left" w:pos="1843"/>
        </w:tabs>
        <w:spacing w:after="120" w:line="360" w:lineRule="auto"/>
        <w:jc w:val="both"/>
      </w:pPr>
      <w:r w:rsidRPr="00A85334">
        <w:t>recommendations regard</w:t>
      </w:r>
      <w:r>
        <w:t>ing</w:t>
      </w:r>
      <w:r w:rsidRPr="00A85334">
        <w:t xml:space="preserve"> phase promotion and demotion, graduation, program exit, and behavioural consequences (</w:t>
      </w:r>
      <w:r>
        <w:t>i.e. incentive</w:t>
      </w:r>
      <w:r w:rsidRPr="00A85334">
        <w:t>s and sanctions).</w:t>
      </w:r>
    </w:p>
    <w:p w14:paraId="64BDB2B4" w14:textId="77777777" w:rsidR="00013B73" w:rsidRPr="00A85334" w:rsidRDefault="00013B73" w:rsidP="00013B73">
      <w:pPr>
        <w:pStyle w:val="BodyText"/>
        <w:ind w:left="0"/>
        <w:jc w:val="both"/>
        <w:rPr>
          <w:rFonts w:asciiTheme="minorHAnsi" w:hAnsiTheme="minorHAnsi"/>
        </w:rPr>
      </w:pPr>
      <w:r w:rsidRPr="00A85334">
        <w:rPr>
          <w:rFonts w:asciiTheme="minorHAnsi" w:hAnsiTheme="minorHAnsi"/>
        </w:rPr>
        <w:t xml:space="preserve">The DPP and/or Legal Aid representatives may use </w:t>
      </w:r>
      <w:r>
        <w:rPr>
          <w:rFonts w:asciiTheme="minorHAnsi" w:hAnsiTheme="minorHAnsi"/>
        </w:rPr>
        <w:t>case conferences to provide documents to the j</w:t>
      </w:r>
      <w:r w:rsidRPr="00A85334">
        <w:rPr>
          <w:rFonts w:asciiTheme="minorHAnsi" w:hAnsiTheme="minorHAnsi"/>
        </w:rPr>
        <w:t>udge with each other’s consent</w:t>
      </w:r>
      <w:r>
        <w:rPr>
          <w:rFonts w:asciiTheme="minorHAnsi" w:hAnsiTheme="minorHAnsi"/>
        </w:rPr>
        <w:t xml:space="preserve">. </w:t>
      </w:r>
      <w:r w:rsidRPr="00A85334">
        <w:rPr>
          <w:rFonts w:asciiTheme="minorHAnsi" w:hAnsiTheme="minorHAnsi"/>
        </w:rPr>
        <w:t xml:space="preserve">With the judge’s consent, </w:t>
      </w:r>
      <w:r>
        <w:rPr>
          <w:rFonts w:asciiTheme="minorHAnsi" w:hAnsiTheme="minorHAnsi"/>
        </w:rPr>
        <w:t xml:space="preserve">additional </w:t>
      </w:r>
      <w:r w:rsidRPr="00A85334">
        <w:rPr>
          <w:rFonts w:asciiTheme="minorHAnsi" w:hAnsiTheme="minorHAnsi"/>
        </w:rPr>
        <w:t xml:space="preserve">representatives from service providers such as residential rehabilitation services may attend </w:t>
      </w:r>
      <w:r>
        <w:rPr>
          <w:rFonts w:asciiTheme="minorHAnsi" w:hAnsiTheme="minorHAnsi"/>
        </w:rPr>
        <w:t xml:space="preserve">case conferences </w:t>
      </w:r>
      <w:r w:rsidRPr="00A85334">
        <w:rPr>
          <w:rFonts w:asciiTheme="minorHAnsi" w:hAnsiTheme="minorHAnsi"/>
        </w:rPr>
        <w:t>to provide information about the participant’s progress.</w:t>
      </w:r>
    </w:p>
    <w:p w14:paraId="5C7D8685" w14:textId="77777777" w:rsidR="00013B73" w:rsidRDefault="00013B73" w:rsidP="00013B73">
      <w:pPr>
        <w:tabs>
          <w:tab w:val="left" w:pos="4111"/>
          <w:tab w:val="left" w:pos="4253"/>
          <w:tab w:val="left" w:pos="5103"/>
        </w:tabs>
        <w:spacing w:after="120" w:line="360" w:lineRule="auto"/>
        <w:ind w:right="-187"/>
        <w:jc w:val="both"/>
      </w:pPr>
      <w:r w:rsidRPr="00A85334">
        <w:t xml:space="preserve">In order to foster open communication, unless exceptional circumstances exist (and then only with the judge’s permission), participants will not attend </w:t>
      </w:r>
      <w:r>
        <w:t>case conferences</w:t>
      </w:r>
      <w:r w:rsidRPr="00A85334">
        <w:t>. Exceptional circumstances include, but are not limited to, when participant attendance is:</w:t>
      </w:r>
    </w:p>
    <w:p w14:paraId="569E8211" w14:textId="77777777" w:rsidR="00013B73" w:rsidRPr="00A85334" w:rsidRDefault="00013B73" w:rsidP="00013B73">
      <w:pPr>
        <w:tabs>
          <w:tab w:val="left" w:pos="4111"/>
          <w:tab w:val="left" w:pos="4253"/>
          <w:tab w:val="left" w:pos="5103"/>
        </w:tabs>
        <w:spacing w:after="120" w:line="360" w:lineRule="auto"/>
        <w:ind w:right="-187"/>
        <w:jc w:val="both"/>
      </w:pPr>
    </w:p>
    <w:p w14:paraId="19F0B9A5" w14:textId="77777777" w:rsidR="00013B73" w:rsidRPr="00A85334" w:rsidRDefault="00013B73" w:rsidP="00013B73">
      <w:pPr>
        <w:pStyle w:val="ListParagraph"/>
        <w:numPr>
          <w:ilvl w:val="0"/>
          <w:numId w:val="5"/>
        </w:numPr>
        <w:tabs>
          <w:tab w:val="left" w:pos="1843"/>
        </w:tabs>
        <w:spacing w:after="120" w:line="360" w:lineRule="auto"/>
        <w:jc w:val="both"/>
      </w:pPr>
      <w:r w:rsidRPr="00A85334">
        <w:lastRenderedPageBreak/>
        <w:t>clinically indicated; and/or</w:t>
      </w:r>
    </w:p>
    <w:p w14:paraId="430E9EE5" w14:textId="77777777" w:rsidR="00013B73" w:rsidRPr="00A85334" w:rsidRDefault="00013B73" w:rsidP="00013B73">
      <w:pPr>
        <w:pStyle w:val="ListParagraph"/>
        <w:numPr>
          <w:ilvl w:val="0"/>
          <w:numId w:val="4"/>
        </w:numPr>
        <w:tabs>
          <w:tab w:val="left" w:pos="1843"/>
        </w:tabs>
        <w:spacing w:after="240" w:line="360" w:lineRule="auto"/>
        <w:jc w:val="both"/>
      </w:pPr>
      <w:r w:rsidRPr="00A85334">
        <w:t>necessary to protect a participant from serious harm resulting from disclosure of sensitive treatment information in court.</w:t>
      </w:r>
    </w:p>
    <w:p w14:paraId="22F29AA0" w14:textId="77777777" w:rsidR="00013B73" w:rsidRPr="00E90904" w:rsidRDefault="00013B73" w:rsidP="00013B73">
      <w:pPr>
        <w:spacing w:after="120" w:line="360" w:lineRule="auto"/>
        <w:jc w:val="both"/>
        <w:rPr>
          <w:rFonts w:eastAsia="Calibri"/>
          <w:vanish/>
        </w:rPr>
      </w:pPr>
      <w:r w:rsidRPr="00E90904">
        <w:rPr>
          <w:rFonts w:eastAsia="Calibri"/>
        </w:rPr>
        <w:t xml:space="preserve">Case conferences </w:t>
      </w:r>
    </w:p>
    <w:p w14:paraId="5022A106" w14:textId="77777777" w:rsidR="00013B73" w:rsidRPr="000465E8" w:rsidRDefault="00013B73" w:rsidP="00013B73">
      <w:pPr>
        <w:pStyle w:val="BodyText"/>
        <w:numPr>
          <w:ilvl w:val="0"/>
          <w:numId w:val="4"/>
        </w:numPr>
        <w:jc w:val="both"/>
        <w:rPr>
          <w:rFonts w:asciiTheme="minorHAnsi" w:hAnsiTheme="minorHAnsi"/>
        </w:rPr>
      </w:pPr>
      <w:r>
        <w:rPr>
          <w:rFonts w:asciiTheme="minorHAnsi" w:hAnsiTheme="minorHAnsi"/>
        </w:rPr>
        <w:t>will not be</w:t>
      </w:r>
      <w:r w:rsidRPr="00A85334">
        <w:rPr>
          <w:rFonts w:asciiTheme="minorHAnsi" w:hAnsiTheme="minorHAnsi"/>
        </w:rPr>
        <w:t xml:space="preserve"> recorded</w:t>
      </w:r>
      <w:r>
        <w:rPr>
          <w:rFonts w:asciiTheme="minorHAnsi" w:hAnsiTheme="minorHAnsi"/>
        </w:rPr>
        <w:t>,</w:t>
      </w:r>
      <w:r w:rsidRPr="00A85334">
        <w:rPr>
          <w:rFonts w:asciiTheme="minorHAnsi" w:hAnsiTheme="minorHAnsi"/>
        </w:rPr>
        <w:t xml:space="preserve"> nor minutes kept</w:t>
      </w:r>
      <w:r>
        <w:rPr>
          <w:rFonts w:asciiTheme="minorHAnsi" w:hAnsiTheme="minorHAnsi"/>
        </w:rPr>
        <w:t>,</w:t>
      </w:r>
      <w:r w:rsidRPr="00A85334">
        <w:rPr>
          <w:rFonts w:asciiTheme="minorHAnsi" w:hAnsiTheme="minorHAnsi"/>
        </w:rPr>
        <w:t xml:space="preserve"> to ensure that all</w:t>
      </w:r>
      <w:r>
        <w:rPr>
          <w:rFonts w:asciiTheme="minorHAnsi" w:hAnsiTheme="minorHAnsi"/>
        </w:rPr>
        <w:t xml:space="preserve"> treatment order team members</w:t>
      </w:r>
      <w:r w:rsidRPr="00A85334">
        <w:rPr>
          <w:rFonts w:asciiTheme="minorHAnsi" w:hAnsiTheme="minorHAnsi"/>
        </w:rPr>
        <w:t xml:space="preserve"> </w:t>
      </w:r>
      <w:r>
        <w:rPr>
          <w:rFonts w:asciiTheme="minorHAnsi" w:hAnsiTheme="minorHAnsi"/>
        </w:rPr>
        <w:t>are</w:t>
      </w:r>
      <w:r w:rsidRPr="00A85334">
        <w:rPr>
          <w:rFonts w:asciiTheme="minorHAnsi" w:hAnsiTheme="minorHAnsi"/>
        </w:rPr>
        <w:t xml:space="preserve"> able to communicate freely. </w:t>
      </w:r>
      <w:r>
        <w:rPr>
          <w:rFonts w:asciiTheme="minorHAnsi" w:hAnsiTheme="minorHAnsi"/>
        </w:rPr>
        <w:t xml:space="preserve">However, status reports will form part of the Court record. </w:t>
      </w:r>
      <w:r w:rsidRPr="00A85334">
        <w:rPr>
          <w:rFonts w:asciiTheme="minorHAnsi" w:hAnsiTheme="minorHAnsi"/>
        </w:rPr>
        <w:t xml:space="preserve">Outcomes </w:t>
      </w:r>
      <w:r>
        <w:rPr>
          <w:rFonts w:asciiTheme="minorHAnsi" w:hAnsiTheme="minorHAnsi"/>
        </w:rPr>
        <w:t>will</w:t>
      </w:r>
      <w:r w:rsidRPr="00A85334">
        <w:rPr>
          <w:rFonts w:asciiTheme="minorHAnsi" w:hAnsiTheme="minorHAnsi"/>
        </w:rPr>
        <w:t xml:space="preserve"> be recorded </w:t>
      </w:r>
      <w:r>
        <w:rPr>
          <w:rFonts w:asciiTheme="minorHAnsi" w:hAnsiTheme="minorHAnsi"/>
        </w:rPr>
        <w:t>on the status report and a copy will be provid</w:t>
      </w:r>
      <w:r w:rsidRPr="00A85334">
        <w:rPr>
          <w:rFonts w:asciiTheme="minorHAnsi" w:hAnsiTheme="minorHAnsi"/>
        </w:rPr>
        <w:t xml:space="preserve">ed to the </w:t>
      </w:r>
      <w:r>
        <w:rPr>
          <w:rFonts w:asciiTheme="minorHAnsi" w:hAnsiTheme="minorHAnsi"/>
        </w:rPr>
        <w:t>participant</w:t>
      </w:r>
      <w:r w:rsidRPr="00A85334">
        <w:rPr>
          <w:rFonts w:asciiTheme="minorHAnsi" w:hAnsiTheme="minorHAnsi"/>
        </w:rPr>
        <w:t xml:space="preserve"> prior to his or her appearance in court so that they may consider any implications of those outcomes, such as the proposed cancellation of an order or variation of conditions.</w:t>
      </w:r>
      <w:r w:rsidRPr="00A85334">
        <w:rPr>
          <w:rFonts w:asciiTheme="minorHAnsi" w:hAnsiTheme="minorHAnsi"/>
        </w:rPr>
        <w:tab/>
      </w:r>
      <w:r>
        <w:rPr>
          <w:rFonts w:asciiTheme="minorHAnsi" w:hAnsiTheme="minorHAnsi"/>
        </w:rPr>
        <w:t xml:space="preserve"> </w:t>
      </w:r>
      <w:r w:rsidRPr="000465E8">
        <w:rPr>
          <w:rFonts w:asciiTheme="minorHAnsi" w:hAnsiTheme="minorHAnsi"/>
        </w:rPr>
        <w:t xml:space="preserve">The judge will consider the perspectives of all treatment order team members and the participant before making decisions that affect the welfare or liberty of a participant. </w:t>
      </w:r>
    </w:p>
    <w:p w14:paraId="5B884629" w14:textId="77777777" w:rsidR="00013B73" w:rsidRPr="00A85334" w:rsidRDefault="00013B73" w:rsidP="00013B73">
      <w:pPr>
        <w:pStyle w:val="ListParagraph"/>
        <w:numPr>
          <w:ilvl w:val="0"/>
          <w:numId w:val="1"/>
        </w:numPr>
        <w:tabs>
          <w:tab w:val="left" w:pos="993"/>
        </w:tabs>
        <w:spacing w:after="120" w:line="360" w:lineRule="auto"/>
        <w:contextualSpacing w:val="0"/>
        <w:jc w:val="both"/>
        <w:rPr>
          <w:rFonts w:eastAsia="Calibri"/>
          <w:vanish/>
        </w:rPr>
      </w:pPr>
    </w:p>
    <w:p w14:paraId="15F86AB7" w14:textId="77777777" w:rsidR="00013B73" w:rsidRDefault="00013B73" w:rsidP="00013B73">
      <w:pPr>
        <w:pStyle w:val="BodyText"/>
        <w:ind w:left="0"/>
        <w:jc w:val="both"/>
        <w:rPr>
          <w:rFonts w:asciiTheme="minorHAnsi" w:hAnsiTheme="minorHAnsi"/>
        </w:rPr>
      </w:pPr>
    </w:p>
    <w:p w14:paraId="76229D75" w14:textId="77777777" w:rsidR="00013B73" w:rsidRPr="00702662" w:rsidRDefault="00013B73" w:rsidP="00013B73">
      <w:pPr>
        <w:pStyle w:val="BodyText"/>
        <w:ind w:left="0"/>
        <w:jc w:val="both"/>
        <w:rPr>
          <w:rFonts w:asciiTheme="minorHAnsi" w:hAnsiTheme="minorHAnsi"/>
          <w:b/>
          <w:bCs/>
          <w:iCs/>
        </w:rPr>
      </w:pPr>
      <w:r w:rsidRPr="00702662">
        <w:rPr>
          <w:rFonts w:asciiTheme="minorHAnsi" w:hAnsiTheme="minorHAnsi"/>
          <w:b/>
          <w:bCs/>
          <w:iCs/>
        </w:rPr>
        <w:t>Information sharing</w:t>
      </w:r>
    </w:p>
    <w:p w14:paraId="28FF8D70" w14:textId="77777777" w:rsidR="00013B73" w:rsidRDefault="00013B73" w:rsidP="00013B73">
      <w:pPr>
        <w:pStyle w:val="BodyText"/>
        <w:ind w:left="0"/>
        <w:jc w:val="both"/>
        <w:rPr>
          <w:rFonts w:asciiTheme="minorHAnsi" w:hAnsiTheme="minorHAnsi"/>
        </w:rPr>
      </w:pPr>
      <w:r w:rsidRPr="00A85334">
        <w:rPr>
          <w:rFonts w:asciiTheme="minorHAnsi" w:hAnsiTheme="minorHAnsi"/>
        </w:rPr>
        <w:t xml:space="preserve">When participants agree to undertake a DATO, they provide voluntary and informed consent to </w:t>
      </w:r>
      <w:r>
        <w:rPr>
          <w:rFonts w:asciiTheme="minorHAnsi" w:hAnsiTheme="minorHAnsi"/>
        </w:rPr>
        <w:t xml:space="preserve">treatment order team </w:t>
      </w:r>
      <w:r w:rsidRPr="00A85334">
        <w:rPr>
          <w:rFonts w:asciiTheme="minorHAnsi" w:hAnsiTheme="minorHAnsi"/>
        </w:rPr>
        <w:t xml:space="preserve">members and their agencies sharing information about their progress in, and compliance with, their DATO. </w:t>
      </w:r>
      <w:r>
        <w:rPr>
          <w:rFonts w:asciiTheme="minorHAnsi" w:hAnsiTheme="minorHAnsi"/>
        </w:rPr>
        <w:t>Treatment order team</w:t>
      </w:r>
      <w:r w:rsidRPr="00A85334">
        <w:rPr>
          <w:rFonts w:asciiTheme="minorHAnsi" w:hAnsiTheme="minorHAnsi"/>
        </w:rPr>
        <w:t xml:space="preserve"> members will share information as necessary and relevant and as permitted by law to consider and review </w:t>
      </w:r>
      <w:r>
        <w:rPr>
          <w:rFonts w:asciiTheme="minorHAnsi" w:hAnsiTheme="minorHAnsi"/>
        </w:rPr>
        <w:t>the participants’ progress and compliance.</w:t>
      </w:r>
      <w:r w:rsidRPr="00A85334">
        <w:rPr>
          <w:rFonts w:asciiTheme="minorHAnsi" w:hAnsiTheme="minorHAnsi"/>
        </w:rPr>
        <w:t xml:space="preserve"> </w:t>
      </w:r>
    </w:p>
    <w:p w14:paraId="6EE1C5F2" w14:textId="77777777" w:rsidR="00013B73" w:rsidRPr="00A85334" w:rsidRDefault="00013B73" w:rsidP="00013B73">
      <w:pPr>
        <w:pStyle w:val="BodyText"/>
        <w:ind w:left="0"/>
        <w:jc w:val="both"/>
        <w:rPr>
          <w:rFonts w:asciiTheme="minorHAnsi" w:hAnsiTheme="minorHAnsi"/>
        </w:rPr>
      </w:pPr>
      <w:r w:rsidRPr="00A85334">
        <w:rPr>
          <w:rFonts w:asciiTheme="minorHAnsi" w:hAnsiTheme="minorHAnsi"/>
        </w:rPr>
        <w:t>This information excha</w:t>
      </w:r>
      <w:r>
        <w:rPr>
          <w:rFonts w:asciiTheme="minorHAnsi" w:hAnsiTheme="minorHAnsi"/>
        </w:rPr>
        <w:t>nge may occur at</w:t>
      </w:r>
      <w:r w:rsidRPr="00A85334">
        <w:rPr>
          <w:rFonts w:asciiTheme="minorHAnsi" w:hAnsiTheme="minorHAnsi"/>
        </w:rPr>
        <w:t xml:space="preserve"> case conferences or</w:t>
      </w:r>
      <w:r>
        <w:rPr>
          <w:rFonts w:asciiTheme="minorHAnsi" w:hAnsiTheme="minorHAnsi"/>
        </w:rPr>
        <w:t xml:space="preserve"> between team members in advance of case conferences if that will promote the purpose of the order</w:t>
      </w:r>
      <w:r w:rsidRPr="00A85334">
        <w:rPr>
          <w:rFonts w:asciiTheme="minorHAnsi" w:hAnsiTheme="minorHAnsi"/>
        </w:rPr>
        <w:t>.</w:t>
      </w:r>
      <w:r>
        <w:rPr>
          <w:rFonts w:asciiTheme="minorHAnsi" w:hAnsiTheme="minorHAnsi"/>
        </w:rPr>
        <w:t xml:space="preserve"> Any information shared outside the case conference must be made available to the treatment team at a subsequent conference. </w:t>
      </w:r>
      <w:r w:rsidRPr="00A85334">
        <w:rPr>
          <w:rFonts w:asciiTheme="minorHAnsi" w:hAnsiTheme="minorHAnsi"/>
        </w:rPr>
        <w:t>Nothing in th</w:t>
      </w:r>
      <w:r>
        <w:rPr>
          <w:rFonts w:asciiTheme="minorHAnsi" w:hAnsiTheme="minorHAnsi"/>
        </w:rPr>
        <w:t xml:space="preserve">e </w:t>
      </w:r>
      <w:r>
        <w:rPr>
          <w:rFonts w:asciiTheme="minorHAnsi" w:hAnsiTheme="minorHAnsi"/>
          <w:iCs/>
        </w:rPr>
        <w:t xml:space="preserve">DATO process </w:t>
      </w:r>
      <w:r>
        <w:rPr>
          <w:rFonts w:asciiTheme="minorHAnsi" w:hAnsiTheme="minorHAnsi"/>
        </w:rPr>
        <w:t>requires a defence lawyer</w:t>
      </w:r>
      <w:r w:rsidRPr="00A85334">
        <w:rPr>
          <w:rFonts w:asciiTheme="minorHAnsi" w:hAnsiTheme="minorHAnsi"/>
        </w:rPr>
        <w:t xml:space="preserve"> to breach </w:t>
      </w:r>
      <w:r>
        <w:rPr>
          <w:rFonts w:asciiTheme="minorHAnsi" w:hAnsiTheme="minorHAnsi"/>
        </w:rPr>
        <w:t xml:space="preserve">his or her client’s </w:t>
      </w:r>
      <w:r w:rsidRPr="00A85334">
        <w:rPr>
          <w:rFonts w:asciiTheme="minorHAnsi" w:hAnsiTheme="minorHAnsi"/>
        </w:rPr>
        <w:t xml:space="preserve">legal professional privilege. Any disclosures which might do so are to be made with the </w:t>
      </w:r>
      <w:r>
        <w:rPr>
          <w:rFonts w:asciiTheme="minorHAnsi" w:hAnsiTheme="minorHAnsi"/>
        </w:rPr>
        <w:t>participant</w:t>
      </w:r>
      <w:r w:rsidRPr="00A85334">
        <w:rPr>
          <w:rFonts w:asciiTheme="minorHAnsi" w:hAnsiTheme="minorHAnsi"/>
        </w:rPr>
        <w:t>’s express consent.</w:t>
      </w:r>
    </w:p>
    <w:bookmarkEnd w:id="1"/>
    <w:bookmarkEnd w:id="2"/>
    <w:p w14:paraId="5CA4ADBC" w14:textId="6673C0F5" w:rsidR="00AF41E3" w:rsidRDefault="00013B73" w:rsidP="00013B73">
      <w:r>
        <w:br w:type="page"/>
      </w:r>
    </w:p>
    <w:sectPr w:rsidR="00AF4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4CE"/>
    <w:multiLevelType w:val="multilevel"/>
    <w:tmpl w:val="E9AE7676"/>
    <w:lvl w:ilvl="0">
      <w:start w:val="4"/>
      <w:numFmt w:val="decimal"/>
      <w:lvlText w:val="%1"/>
      <w:lvlJc w:val="left"/>
      <w:pPr>
        <w:ind w:left="444" w:hanging="444"/>
      </w:pPr>
      <w:rPr>
        <w:rFonts w:hint="default"/>
        <w:b/>
        <w:i w:val="0"/>
      </w:rPr>
    </w:lvl>
    <w:lvl w:ilvl="1">
      <w:start w:val="2"/>
      <w:numFmt w:val="decimal"/>
      <w:lvlText w:val="%1.%2"/>
      <w:lvlJc w:val="left"/>
      <w:pPr>
        <w:ind w:left="624" w:hanging="444"/>
      </w:pPr>
      <w:rPr>
        <w:rFonts w:hint="default"/>
        <w:b/>
        <w:i w:val="0"/>
      </w:rPr>
    </w:lvl>
    <w:lvl w:ilvl="2">
      <w:start w:val="1"/>
      <w:numFmt w:val="decimal"/>
      <w:lvlText w:val="%1.%2.%3"/>
      <w:lvlJc w:val="left"/>
      <w:pPr>
        <w:ind w:left="1146" w:hanging="720"/>
      </w:pPr>
      <w:rPr>
        <w:rFonts w:hint="default"/>
        <w:b w:val="0"/>
        <w:i w:val="0"/>
      </w:rPr>
    </w:lvl>
    <w:lvl w:ilvl="3">
      <w:start w:val="1"/>
      <w:numFmt w:val="bullet"/>
      <w:lvlText w:val=""/>
      <w:lvlJc w:val="left"/>
      <w:pPr>
        <w:ind w:left="1260" w:hanging="720"/>
      </w:pPr>
      <w:rPr>
        <w:rFonts w:ascii="Symbol" w:hAnsi="Symbol" w:hint="default"/>
        <w:b w:val="0"/>
        <w:i w:val="0"/>
      </w:rPr>
    </w:lvl>
    <w:lvl w:ilvl="4">
      <w:start w:val="1"/>
      <w:numFmt w:val="bullet"/>
      <w:lvlText w:val=""/>
      <w:lvlJc w:val="left"/>
      <w:pPr>
        <w:ind w:left="1800" w:hanging="1080"/>
      </w:pPr>
      <w:rPr>
        <w:rFonts w:ascii="Symbol" w:hAnsi="Symbol" w:hint="default"/>
        <w:b w:val="0"/>
        <w:i w:val="0"/>
      </w:rPr>
    </w:lvl>
    <w:lvl w:ilvl="5">
      <w:start w:val="1"/>
      <w:numFmt w:val="decimal"/>
      <w:lvlText w:val="%1.%2.%3.%4.%5.%6"/>
      <w:lvlJc w:val="left"/>
      <w:pPr>
        <w:ind w:left="1980" w:hanging="1080"/>
      </w:pPr>
      <w:rPr>
        <w:rFonts w:hint="default"/>
        <w:b/>
        <w:i/>
      </w:rPr>
    </w:lvl>
    <w:lvl w:ilvl="6">
      <w:start w:val="1"/>
      <w:numFmt w:val="decimal"/>
      <w:lvlText w:val="%1.%2.%3.%4.%5.%6.%7"/>
      <w:lvlJc w:val="left"/>
      <w:pPr>
        <w:ind w:left="2520" w:hanging="1440"/>
      </w:pPr>
      <w:rPr>
        <w:rFonts w:hint="default"/>
        <w:b/>
        <w:i/>
      </w:rPr>
    </w:lvl>
    <w:lvl w:ilvl="7">
      <w:start w:val="1"/>
      <w:numFmt w:val="decimal"/>
      <w:lvlText w:val="%1.%2.%3.%4.%5.%6.%7.%8"/>
      <w:lvlJc w:val="left"/>
      <w:pPr>
        <w:ind w:left="2700" w:hanging="1440"/>
      </w:pPr>
      <w:rPr>
        <w:rFonts w:hint="default"/>
        <w:b/>
        <w:i/>
      </w:rPr>
    </w:lvl>
    <w:lvl w:ilvl="8">
      <w:start w:val="1"/>
      <w:numFmt w:val="decimal"/>
      <w:lvlText w:val="%1.%2.%3.%4.%5.%6.%7.%8.%9"/>
      <w:lvlJc w:val="left"/>
      <w:pPr>
        <w:ind w:left="2880" w:hanging="1440"/>
      </w:pPr>
      <w:rPr>
        <w:rFonts w:hint="default"/>
        <w:b/>
        <w:i/>
      </w:rPr>
    </w:lvl>
  </w:abstractNum>
  <w:abstractNum w:abstractNumId="1" w15:restartNumberingAfterBreak="0">
    <w:nsid w:val="2E5F1CB7"/>
    <w:multiLevelType w:val="hybridMultilevel"/>
    <w:tmpl w:val="9CEA4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156330"/>
    <w:multiLevelType w:val="hybridMultilevel"/>
    <w:tmpl w:val="C8086CE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 w15:restartNumberingAfterBreak="0">
    <w:nsid w:val="303D5203"/>
    <w:multiLevelType w:val="hybridMultilevel"/>
    <w:tmpl w:val="17CEB45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474977E3"/>
    <w:multiLevelType w:val="hybridMultilevel"/>
    <w:tmpl w:val="23D050CC"/>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5" w15:restartNumberingAfterBreak="0">
    <w:nsid w:val="79F503CC"/>
    <w:multiLevelType w:val="hybridMultilevel"/>
    <w:tmpl w:val="C7161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73"/>
    <w:rsid w:val="00013B73"/>
    <w:rsid w:val="00AF41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F027"/>
  <w15:chartTrackingRefBased/>
  <w15:docId w15:val="{F3F4D488-7B01-493B-AFD3-E0B4E4B8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3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B73"/>
    <w:pPr>
      <w:ind w:left="720"/>
      <w:contextualSpacing/>
    </w:pPr>
  </w:style>
  <w:style w:type="paragraph" w:styleId="NoSpacing">
    <w:name w:val="No Spacing"/>
    <w:link w:val="NoSpacingChar"/>
    <w:uiPriority w:val="1"/>
    <w:qFormat/>
    <w:rsid w:val="00013B7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3B73"/>
    <w:rPr>
      <w:rFonts w:eastAsiaTheme="minorEastAsia"/>
      <w:lang w:val="en-US"/>
    </w:rPr>
  </w:style>
  <w:style w:type="paragraph" w:styleId="BodyText">
    <w:name w:val="Body Text"/>
    <w:basedOn w:val="Normal"/>
    <w:link w:val="BodyTextChar"/>
    <w:uiPriority w:val="1"/>
    <w:unhideWhenUsed/>
    <w:qFormat/>
    <w:rsid w:val="00013B73"/>
    <w:pPr>
      <w:spacing w:after="120" w:line="360" w:lineRule="auto"/>
      <w:ind w:left="720"/>
    </w:pPr>
    <w:rPr>
      <w:rFonts w:ascii="Calibri" w:eastAsia="Calibri" w:hAnsi="Calibri" w:cs="Times New Roman"/>
    </w:rPr>
  </w:style>
  <w:style w:type="character" w:customStyle="1" w:styleId="BodyTextChar">
    <w:name w:val="Body Text Char"/>
    <w:basedOn w:val="DefaultParagraphFont"/>
    <w:link w:val="BodyText"/>
    <w:uiPriority w:val="1"/>
    <w:rsid w:val="00013B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Nuttall, Amanda</dc:creator>
  <cp:keywords/>
  <dc:description/>
  <cp:lastModifiedBy>Nuttall, Amanda</cp:lastModifiedBy>
  <cp:revision>1</cp:revision>
  <dcterms:created xsi:type="dcterms:W3CDTF">2019-12-18T22:32:00Z</dcterms:created>
  <dcterms:modified xsi:type="dcterms:W3CDTF">2019-12-18T22:33:00Z</dcterms:modified>
</cp:coreProperties>
</file>