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26F" w:rsidRPr="00874B49" w:rsidRDefault="00BB526F" w:rsidP="00A06ADF">
      <w:pPr>
        <w:ind w:firstLine="720"/>
        <w:rPr>
          <w:bCs/>
          <w:sz w:val="24"/>
          <w:szCs w:val="24"/>
        </w:rPr>
      </w:pPr>
      <w:r w:rsidRPr="00874B49">
        <w:rPr>
          <w:bCs/>
          <w:sz w:val="24"/>
          <w:szCs w:val="24"/>
        </w:rPr>
        <w:t>MAGISTRATES COURT OF THE AUSTRALIAN CAPITAL TERRITORY</w:t>
      </w:r>
    </w:p>
    <w:p w:rsidR="00BB526F" w:rsidRPr="00874B49" w:rsidRDefault="00BB526F" w:rsidP="00A06ADF">
      <w:pPr>
        <w:rPr>
          <w:sz w:val="24"/>
          <w:szCs w:val="24"/>
        </w:rPr>
      </w:pPr>
    </w:p>
    <w:p w:rsidR="00BB526F" w:rsidRPr="00874B49" w:rsidRDefault="00BB526F" w:rsidP="00A06ADF">
      <w:pPr>
        <w:ind w:left="720" w:firstLine="720"/>
        <w:rPr>
          <w:b/>
          <w:bCs/>
          <w:sz w:val="24"/>
          <w:szCs w:val="24"/>
        </w:rPr>
      </w:pPr>
      <w:r w:rsidRPr="00874B49">
        <w:rPr>
          <w:b/>
          <w:bCs/>
          <w:sz w:val="24"/>
          <w:szCs w:val="24"/>
        </w:rPr>
        <w:t>PRAC</w:t>
      </w:r>
      <w:bookmarkStart w:id="0" w:name="_GoBack"/>
      <w:bookmarkEnd w:id="0"/>
      <w:r w:rsidRPr="00874B49">
        <w:rPr>
          <w:b/>
          <w:bCs/>
          <w:sz w:val="24"/>
          <w:szCs w:val="24"/>
        </w:rPr>
        <w:t>TICE DIRECTION NO</w:t>
      </w:r>
      <w:r w:rsidR="00C114E0" w:rsidRPr="00874B49">
        <w:rPr>
          <w:b/>
          <w:bCs/>
          <w:sz w:val="24"/>
          <w:szCs w:val="24"/>
        </w:rPr>
        <w:t xml:space="preserve"> </w:t>
      </w:r>
      <w:r w:rsidR="006A6B66">
        <w:rPr>
          <w:b/>
          <w:bCs/>
          <w:sz w:val="24"/>
          <w:szCs w:val="24"/>
        </w:rPr>
        <w:t>1</w:t>
      </w:r>
      <w:r w:rsidR="00C114E0" w:rsidRPr="00874B49">
        <w:rPr>
          <w:b/>
          <w:bCs/>
          <w:sz w:val="24"/>
          <w:szCs w:val="24"/>
        </w:rPr>
        <w:t xml:space="preserve"> </w:t>
      </w:r>
      <w:r w:rsidRPr="00874B49">
        <w:rPr>
          <w:b/>
          <w:bCs/>
          <w:sz w:val="24"/>
          <w:szCs w:val="24"/>
        </w:rPr>
        <w:t xml:space="preserve">OF </w:t>
      </w:r>
      <w:r w:rsidR="0023151A">
        <w:rPr>
          <w:b/>
          <w:bCs/>
          <w:sz w:val="24"/>
          <w:szCs w:val="24"/>
        </w:rPr>
        <w:t>2018</w:t>
      </w:r>
    </w:p>
    <w:p w:rsidR="00BB526F" w:rsidRPr="00874B49" w:rsidRDefault="00BB526F" w:rsidP="00A06ADF">
      <w:pPr>
        <w:ind w:left="1440" w:firstLine="720"/>
        <w:rPr>
          <w:b/>
          <w:bCs/>
          <w:sz w:val="24"/>
          <w:szCs w:val="24"/>
        </w:rPr>
      </w:pPr>
      <w:r w:rsidRPr="00874B49">
        <w:rPr>
          <w:b/>
          <w:bCs/>
          <w:sz w:val="24"/>
          <w:szCs w:val="24"/>
        </w:rPr>
        <w:t xml:space="preserve">FAMILY VIOLENCE </w:t>
      </w:r>
      <w:r w:rsidR="00880EA0" w:rsidRPr="00874B49">
        <w:rPr>
          <w:b/>
          <w:bCs/>
          <w:sz w:val="24"/>
          <w:szCs w:val="24"/>
        </w:rPr>
        <w:t>C</w:t>
      </w:r>
      <w:r w:rsidR="00085C88" w:rsidRPr="00874B49">
        <w:rPr>
          <w:b/>
          <w:bCs/>
          <w:sz w:val="24"/>
          <w:szCs w:val="24"/>
        </w:rPr>
        <w:t>OURT</w:t>
      </w:r>
    </w:p>
    <w:p w:rsidR="00BB526F" w:rsidRPr="00874B49" w:rsidRDefault="00BB526F" w:rsidP="00A06ADF">
      <w:pPr>
        <w:rPr>
          <w:b/>
          <w:bCs/>
          <w:sz w:val="24"/>
          <w:szCs w:val="24"/>
        </w:rPr>
      </w:pPr>
    </w:p>
    <w:p w:rsidR="00BB526F" w:rsidRPr="00874B49" w:rsidRDefault="00BB526F" w:rsidP="00A06ADF">
      <w:pPr>
        <w:rPr>
          <w:b/>
          <w:bCs/>
          <w:sz w:val="24"/>
          <w:szCs w:val="24"/>
        </w:rPr>
      </w:pPr>
    </w:p>
    <w:p w:rsidR="00BB526F" w:rsidRPr="00B32020" w:rsidRDefault="00BB526F" w:rsidP="00A06ADF">
      <w:pPr>
        <w:rPr>
          <w:rFonts w:ascii="Arial" w:hAnsi="Arial" w:cs="Arial"/>
          <w:sz w:val="24"/>
          <w:szCs w:val="24"/>
        </w:rPr>
      </w:pPr>
      <w:r w:rsidRPr="00B32020">
        <w:rPr>
          <w:rFonts w:ascii="Arial" w:hAnsi="Arial" w:cs="Arial"/>
          <w:sz w:val="24"/>
          <w:szCs w:val="24"/>
        </w:rPr>
        <w:t xml:space="preserve">This Practice Direction takes effect from </w:t>
      </w:r>
      <w:r w:rsidR="0053168B" w:rsidRPr="00B32020">
        <w:rPr>
          <w:rFonts w:ascii="Arial" w:hAnsi="Arial" w:cs="Arial"/>
          <w:sz w:val="24"/>
          <w:szCs w:val="24"/>
        </w:rPr>
        <w:t>1 January</w:t>
      </w:r>
      <w:r w:rsidR="000B3581" w:rsidRPr="00B32020">
        <w:rPr>
          <w:rFonts w:ascii="Arial" w:hAnsi="Arial" w:cs="Arial"/>
          <w:sz w:val="24"/>
          <w:szCs w:val="24"/>
        </w:rPr>
        <w:t xml:space="preserve"> 201</w:t>
      </w:r>
      <w:r w:rsidR="0023151A" w:rsidRPr="00B32020">
        <w:rPr>
          <w:rFonts w:ascii="Arial" w:hAnsi="Arial" w:cs="Arial"/>
          <w:sz w:val="24"/>
          <w:szCs w:val="24"/>
        </w:rPr>
        <w:t>8</w:t>
      </w:r>
      <w:r w:rsidR="00880EA0" w:rsidRPr="00B32020">
        <w:rPr>
          <w:rFonts w:ascii="Arial" w:hAnsi="Arial" w:cs="Arial"/>
          <w:sz w:val="24"/>
          <w:szCs w:val="24"/>
        </w:rPr>
        <w:t xml:space="preserve"> </w:t>
      </w:r>
      <w:r w:rsidRPr="00B32020">
        <w:rPr>
          <w:rFonts w:ascii="Arial" w:hAnsi="Arial" w:cs="Arial"/>
          <w:sz w:val="24"/>
          <w:szCs w:val="24"/>
        </w:rPr>
        <w:t>and replaces Practice Direction No.</w:t>
      </w:r>
      <w:r w:rsidR="00746EDB" w:rsidRPr="00B32020">
        <w:rPr>
          <w:rFonts w:ascii="Arial" w:hAnsi="Arial" w:cs="Arial"/>
          <w:sz w:val="24"/>
          <w:szCs w:val="24"/>
        </w:rPr>
        <w:t> </w:t>
      </w:r>
      <w:r w:rsidRPr="00B32020">
        <w:rPr>
          <w:rFonts w:ascii="Arial" w:hAnsi="Arial" w:cs="Arial"/>
          <w:sz w:val="24"/>
          <w:szCs w:val="24"/>
        </w:rPr>
        <w:t xml:space="preserve">2 of </w:t>
      </w:r>
      <w:r w:rsidR="00880EA0" w:rsidRPr="00B32020">
        <w:rPr>
          <w:rFonts w:ascii="Arial" w:hAnsi="Arial" w:cs="Arial"/>
          <w:sz w:val="24"/>
          <w:szCs w:val="24"/>
        </w:rPr>
        <w:t xml:space="preserve">2009 </w:t>
      </w:r>
      <w:r w:rsidRPr="00B32020">
        <w:rPr>
          <w:rFonts w:ascii="Arial" w:hAnsi="Arial" w:cs="Arial"/>
          <w:sz w:val="24"/>
          <w:szCs w:val="24"/>
        </w:rPr>
        <w:t>from that date.</w:t>
      </w:r>
    </w:p>
    <w:p w:rsidR="00BB526F" w:rsidRPr="00B32020" w:rsidRDefault="00BB526F" w:rsidP="00A06ADF">
      <w:pPr>
        <w:rPr>
          <w:rFonts w:ascii="Arial" w:hAnsi="Arial" w:cs="Arial"/>
          <w:sz w:val="24"/>
          <w:szCs w:val="24"/>
        </w:rPr>
      </w:pPr>
    </w:p>
    <w:p w:rsidR="00BB526F" w:rsidRPr="00B32020" w:rsidRDefault="00BB526F" w:rsidP="006A6B66">
      <w:pPr>
        <w:rPr>
          <w:rFonts w:ascii="Arial" w:hAnsi="Arial" w:cs="Arial"/>
          <w:b/>
          <w:sz w:val="24"/>
          <w:szCs w:val="24"/>
        </w:rPr>
      </w:pPr>
      <w:r w:rsidRPr="00B32020">
        <w:rPr>
          <w:rFonts w:ascii="Arial" w:hAnsi="Arial" w:cs="Arial"/>
          <w:b/>
          <w:bCs/>
          <w:sz w:val="24"/>
          <w:szCs w:val="24"/>
        </w:rPr>
        <w:t>Application</w:t>
      </w:r>
    </w:p>
    <w:p w:rsidR="00DF5B35" w:rsidRPr="00B32020" w:rsidRDefault="00DF5B35" w:rsidP="00DF5B35">
      <w:pPr>
        <w:ind w:left="66"/>
        <w:rPr>
          <w:rFonts w:ascii="Arial" w:hAnsi="Arial" w:cs="Arial"/>
          <w:b/>
          <w:sz w:val="24"/>
          <w:szCs w:val="24"/>
        </w:rPr>
      </w:pPr>
    </w:p>
    <w:p w:rsidR="00BB526F" w:rsidRPr="00B32020" w:rsidRDefault="00BB526F" w:rsidP="00B32020">
      <w:pPr>
        <w:pStyle w:val="ListParagraph"/>
        <w:numPr>
          <w:ilvl w:val="0"/>
          <w:numId w:val="15"/>
        </w:numPr>
        <w:ind w:left="284" w:hanging="284"/>
        <w:rPr>
          <w:szCs w:val="24"/>
        </w:rPr>
      </w:pPr>
      <w:r w:rsidRPr="00B32020">
        <w:rPr>
          <w:szCs w:val="24"/>
        </w:rPr>
        <w:t>This Practice Direction sets out the procedures that are to be followed in</w:t>
      </w:r>
      <w:r w:rsidR="002269FC" w:rsidRPr="00B32020">
        <w:rPr>
          <w:szCs w:val="24"/>
        </w:rPr>
        <w:t xml:space="preserve"> relation to</w:t>
      </w:r>
      <w:r w:rsidR="00085C88" w:rsidRPr="00B32020">
        <w:rPr>
          <w:szCs w:val="24"/>
        </w:rPr>
        <w:t xml:space="preserve"> </w:t>
      </w:r>
      <w:r w:rsidR="002269FC" w:rsidRPr="00B32020">
        <w:rPr>
          <w:szCs w:val="24"/>
        </w:rPr>
        <w:t>matter</w:t>
      </w:r>
      <w:r w:rsidR="00C302D0" w:rsidRPr="00B32020">
        <w:rPr>
          <w:szCs w:val="24"/>
        </w:rPr>
        <w:t>s</w:t>
      </w:r>
      <w:r w:rsidR="002269FC" w:rsidRPr="00B32020">
        <w:rPr>
          <w:szCs w:val="24"/>
        </w:rPr>
        <w:t xml:space="preserve"> within the jurisdiction of </w:t>
      </w:r>
      <w:r w:rsidR="00085C88" w:rsidRPr="00B32020">
        <w:rPr>
          <w:szCs w:val="24"/>
        </w:rPr>
        <w:t xml:space="preserve">the </w:t>
      </w:r>
      <w:r w:rsidR="00880EA0" w:rsidRPr="00B32020">
        <w:rPr>
          <w:szCs w:val="24"/>
        </w:rPr>
        <w:t>Family Violence Court</w:t>
      </w:r>
      <w:r w:rsidR="00746EDB" w:rsidRPr="00B32020">
        <w:rPr>
          <w:szCs w:val="24"/>
        </w:rPr>
        <w:t xml:space="preserve"> as set out in section 291K of the </w:t>
      </w:r>
      <w:r w:rsidR="00746EDB" w:rsidRPr="00B32020">
        <w:rPr>
          <w:i/>
          <w:szCs w:val="24"/>
        </w:rPr>
        <w:t>Magistrates Court Act 1930</w:t>
      </w:r>
      <w:r w:rsidR="00880EA0" w:rsidRPr="00B32020">
        <w:rPr>
          <w:szCs w:val="24"/>
        </w:rPr>
        <w:t>.</w:t>
      </w:r>
      <w:r w:rsidRPr="00B32020">
        <w:rPr>
          <w:szCs w:val="24"/>
        </w:rPr>
        <w:t xml:space="preserve"> </w:t>
      </w:r>
    </w:p>
    <w:p w:rsidR="004D3732" w:rsidRPr="00B32020" w:rsidRDefault="004D3732" w:rsidP="00B32020">
      <w:pPr>
        <w:rPr>
          <w:rFonts w:ascii="Arial" w:hAnsi="Arial" w:cs="Arial"/>
          <w:i/>
          <w:sz w:val="24"/>
          <w:szCs w:val="24"/>
        </w:rPr>
      </w:pPr>
    </w:p>
    <w:p w:rsidR="00BB526F" w:rsidRPr="00B32020" w:rsidRDefault="004D3732" w:rsidP="00B32020">
      <w:pPr>
        <w:rPr>
          <w:rFonts w:ascii="Arial" w:hAnsi="Arial" w:cs="Arial"/>
          <w:b/>
          <w:sz w:val="24"/>
          <w:szCs w:val="24"/>
        </w:rPr>
      </w:pPr>
      <w:r w:rsidRPr="00B32020">
        <w:rPr>
          <w:rFonts w:ascii="Arial" w:hAnsi="Arial" w:cs="Arial"/>
          <w:b/>
          <w:sz w:val="24"/>
          <w:szCs w:val="24"/>
        </w:rPr>
        <w:t>Listing in Family Violence Court</w:t>
      </w:r>
    </w:p>
    <w:p w:rsidR="004D3732" w:rsidRPr="00B32020" w:rsidRDefault="004D3732" w:rsidP="00B32020">
      <w:pPr>
        <w:rPr>
          <w:rFonts w:ascii="Arial" w:hAnsi="Arial" w:cs="Arial"/>
          <w:b/>
          <w:sz w:val="24"/>
          <w:szCs w:val="24"/>
        </w:rPr>
      </w:pPr>
    </w:p>
    <w:p w:rsidR="002B6D4C" w:rsidRPr="00B32020" w:rsidRDefault="004D3732" w:rsidP="00B32020">
      <w:pPr>
        <w:pStyle w:val="ListParagraph"/>
        <w:keepNext/>
        <w:numPr>
          <w:ilvl w:val="0"/>
          <w:numId w:val="15"/>
        </w:numPr>
        <w:ind w:left="284" w:hanging="284"/>
        <w:rPr>
          <w:szCs w:val="24"/>
        </w:rPr>
      </w:pPr>
      <w:r w:rsidRPr="00B32020">
        <w:rPr>
          <w:szCs w:val="24"/>
        </w:rPr>
        <w:t xml:space="preserve">Where a matter </w:t>
      </w:r>
      <w:r w:rsidR="00F01613" w:rsidRPr="00B32020">
        <w:rPr>
          <w:szCs w:val="24"/>
        </w:rPr>
        <w:t>is initiated in court by way of summons or warrant, the informant must</w:t>
      </w:r>
      <w:r w:rsidRPr="00B32020">
        <w:rPr>
          <w:szCs w:val="24"/>
        </w:rPr>
        <w:t xml:space="preserve"> </w:t>
      </w:r>
      <w:r w:rsidR="00F01613" w:rsidRPr="00B32020">
        <w:rPr>
          <w:szCs w:val="24"/>
        </w:rPr>
        <w:t>identify if it falls</w:t>
      </w:r>
      <w:r w:rsidRPr="00B32020">
        <w:rPr>
          <w:szCs w:val="24"/>
        </w:rPr>
        <w:t xml:space="preserve"> within the jurisdiction of the Family Violence Court</w:t>
      </w:r>
      <w:r w:rsidR="00F01613" w:rsidRPr="00B32020">
        <w:rPr>
          <w:szCs w:val="24"/>
        </w:rPr>
        <w:t>. Where a defendant is brought before the Court for the first time in custody following arrest, the Director of Public Prosecutions (DPP) must identify charges which fall within the jurisdiction of the Family Violence Court</w:t>
      </w:r>
      <w:r w:rsidR="00F01613" w:rsidRPr="00B32020" w:rsidDel="00F01613">
        <w:rPr>
          <w:szCs w:val="24"/>
        </w:rPr>
        <w:t xml:space="preserve"> </w:t>
      </w:r>
      <w:r w:rsidR="00F01613" w:rsidRPr="00B32020">
        <w:rPr>
          <w:szCs w:val="24"/>
        </w:rPr>
        <w:t>at the first appearance. In either case, the DPP must specify the relevant relationship relied upon to establish the jurisdiction of the Family Violence Court. Such matters</w:t>
      </w:r>
      <w:r w:rsidRPr="00B32020">
        <w:rPr>
          <w:szCs w:val="24"/>
        </w:rPr>
        <w:t xml:space="preserve"> will be listed in the Family Violence Court</w:t>
      </w:r>
      <w:r w:rsidR="008C2712" w:rsidRPr="00B32020">
        <w:rPr>
          <w:szCs w:val="24"/>
        </w:rPr>
        <w:t>, subject to special arrangements in respect to bail</w:t>
      </w:r>
      <w:r w:rsidRPr="00B32020">
        <w:rPr>
          <w:szCs w:val="24"/>
        </w:rPr>
        <w:t xml:space="preserve">.  </w:t>
      </w:r>
    </w:p>
    <w:p w:rsidR="00BE13FB" w:rsidRPr="00B32020" w:rsidRDefault="00BE13FB" w:rsidP="00B32020">
      <w:pPr>
        <w:keepNext/>
        <w:rPr>
          <w:rFonts w:ascii="Arial" w:hAnsi="Arial" w:cs="Arial"/>
          <w:b/>
          <w:sz w:val="24"/>
          <w:szCs w:val="24"/>
        </w:rPr>
      </w:pPr>
    </w:p>
    <w:p w:rsidR="00096591" w:rsidRPr="00B32020" w:rsidRDefault="00746EDB" w:rsidP="00B32020">
      <w:pPr>
        <w:keepNext/>
        <w:rPr>
          <w:rFonts w:ascii="Arial" w:hAnsi="Arial" w:cs="Arial"/>
          <w:b/>
          <w:sz w:val="24"/>
          <w:szCs w:val="24"/>
        </w:rPr>
      </w:pPr>
      <w:r w:rsidRPr="00B32020">
        <w:rPr>
          <w:rFonts w:ascii="Arial" w:hAnsi="Arial" w:cs="Arial"/>
          <w:b/>
          <w:sz w:val="24"/>
          <w:szCs w:val="24"/>
        </w:rPr>
        <w:t>Sittings of the Family Violence Court</w:t>
      </w:r>
    </w:p>
    <w:p w:rsidR="00746EDB" w:rsidRPr="00B32020" w:rsidRDefault="00746EDB" w:rsidP="00B32020">
      <w:pPr>
        <w:rPr>
          <w:rFonts w:ascii="Arial" w:hAnsi="Arial" w:cs="Arial"/>
          <w:sz w:val="24"/>
          <w:szCs w:val="24"/>
        </w:rPr>
      </w:pPr>
    </w:p>
    <w:p w:rsidR="00746EDB" w:rsidRPr="00B32020" w:rsidRDefault="00746EDB" w:rsidP="00B32020">
      <w:pPr>
        <w:pStyle w:val="ListParagraph"/>
        <w:numPr>
          <w:ilvl w:val="0"/>
          <w:numId w:val="15"/>
        </w:numPr>
        <w:ind w:left="284" w:hanging="284"/>
        <w:jc w:val="both"/>
        <w:rPr>
          <w:szCs w:val="24"/>
        </w:rPr>
      </w:pPr>
      <w:r w:rsidRPr="00B32020">
        <w:rPr>
          <w:szCs w:val="24"/>
        </w:rPr>
        <w:t xml:space="preserve">The Family Violence Court will sit each Tuesday to deal with mentions, </w:t>
      </w:r>
      <w:r w:rsidR="000B3581" w:rsidRPr="00B32020">
        <w:rPr>
          <w:szCs w:val="24"/>
        </w:rPr>
        <w:t xml:space="preserve">including </w:t>
      </w:r>
      <w:r w:rsidR="0023151A" w:rsidRPr="00B32020">
        <w:rPr>
          <w:szCs w:val="24"/>
        </w:rPr>
        <w:t>pre-hearing mentions</w:t>
      </w:r>
      <w:r w:rsidR="000B3581" w:rsidRPr="00B32020">
        <w:rPr>
          <w:szCs w:val="24"/>
        </w:rPr>
        <w:t>,</w:t>
      </w:r>
      <w:r w:rsidRPr="00B32020">
        <w:rPr>
          <w:szCs w:val="24"/>
        </w:rPr>
        <w:t xml:space="preserve"> and </w:t>
      </w:r>
      <w:r w:rsidR="00961216" w:rsidRPr="00B32020">
        <w:rPr>
          <w:szCs w:val="24"/>
        </w:rPr>
        <w:t>sentences</w:t>
      </w:r>
      <w:r w:rsidR="000B3581" w:rsidRPr="00B32020">
        <w:rPr>
          <w:szCs w:val="24"/>
        </w:rPr>
        <w:t xml:space="preserve"> and each Friday afternoon for sentences</w:t>
      </w:r>
      <w:r w:rsidRPr="00B32020">
        <w:rPr>
          <w:szCs w:val="24"/>
        </w:rPr>
        <w:t>.</w:t>
      </w:r>
      <w:r w:rsidR="00961216" w:rsidRPr="00B32020">
        <w:rPr>
          <w:szCs w:val="24"/>
        </w:rPr>
        <w:t xml:space="preserve">  </w:t>
      </w:r>
      <w:r w:rsidR="00B32020">
        <w:rPr>
          <w:szCs w:val="24"/>
        </w:rPr>
        <w:t>The C</w:t>
      </w:r>
      <w:r w:rsidR="000B3581" w:rsidRPr="00B32020">
        <w:rPr>
          <w:szCs w:val="24"/>
        </w:rPr>
        <w:t xml:space="preserve">ourt will sit from </w:t>
      </w:r>
      <w:r w:rsidR="0092656D">
        <w:rPr>
          <w:szCs w:val="24"/>
        </w:rPr>
        <w:t>10:00</w:t>
      </w:r>
      <w:r w:rsidR="00C12F70" w:rsidRPr="00B32020">
        <w:rPr>
          <w:szCs w:val="24"/>
        </w:rPr>
        <w:t xml:space="preserve"> </w:t>
      </w:r>
      <w:r w:rsidR="000B3581" w:rsidRPr="00B32020">
        <w:rPr>
          <w:szCs w:val="24"/>
        </w:rPr>
        <w:t xml:space="preserve">am. </w:t>
      </w:r>
      <w:r w:rsidR="00BE13FB" w:rsidRPr="00B32020">
        <w:rPr>
          <w:szCs w:val="24"/>
        </w:rPr>
        <w:t>Lo</w:t>
      </w:r>
      <w:r w:rsidR="000B3581" w:rsidRPr="00B32020">
        <w:rPr>
          <w:szCs w:val="24"/>
        </w:rPr>
        <w:t>nger m</w:t>
      </w:r>
      <w:r w:rsidR="00961216" w:rsidRPr="00B32020">
        <w:rPr>
          <w:szCs w:val="24"/>
        </w:rPr>
        <w:t xml:space="preserve">atters </w:t>
      </w:r>
      <w:r w:rsidR="000B3581" w:rsidRPr="00B32020">
        <w:rPr>
          <w:szCs w:val="24"/>
        </w:rPr>
        <w:t>listed for</w:t>
      </w:r>
      <w:r w:rsidR="00961216" w:rsidRPr="00B32020">
        <w:rPr>
          <w:szCs w:val="24"/>
        </w:rPr>
        <w:t xml:space="preserve"> sentence </w:t>
      </w:r>
      <w:r w:rsidR="000B3581" w:rsidRPr="00B32020">
        <w:rPr>
          <w:szCs w:val="24"/>
        </w:rPr>
        <w:t>will be listed from 2</w:t>
      </w:r>
      <w:r w:rsidR="002B6D4C" w:rsidRPr="00B32020">
        <w:rPr>
          <w:szCs w:val="24"/>
        </w:rPr>
        <w:t>.00</w:t>
      </w:r>
      <w:r w:rsidR="0092656D">
        <w:rPr>
          <w:szCs w:val="24"/>
        </w:rPr>
        <w:t xml:space="preserve"> </w:t>
      </w:r>
      <w:r w:rsidR="000B3581" w:rsidRPr="00B32020">
        <w:rPr>
          <w:szCs w:val="24"/>
        </w:rPr>
        <w:t>pm</w:t>
      </w:r>
      <w:r w:rsidR="00961216" w:rsidRPr="00B32020">
        <w:rPr>
          <w:szCs w:val="24"/>
        </w:rPr>
        <w:t xml:space="preserve">.  Hearings will be listed </w:t>
      </w:r>
      <w:r w:rsidR="0023151A" w:rsidRPr="00B32020">
        <w:rPr>
          <w:szCs w:val="24"/>
        </w:rPr>
        <w:t xml:space="preserve">in block lists or ad hoc </w:t>
      </w:r>
      <w:r w:rsidR="00961216" w:rsidRPr="00B32020">
        <w:rPr>
          <w:szCs w:val="24"/>
        </w:rPr>
        <w:t xml:space="preserve">as required. </w:t>
      </w:r>
      <w:r w:rsidR="0053168B" w:rsidRPr="00B32020">
        <w:rPr>
          <w:szCs w:val="24"/>
        </w:rPr>
        <w:t>The parties should inform the magistrate of any sensitivities in a matter which might require a special fixture.</w:t>
      </w:r>
    </w:p>
    <w:p w:rsidR="00746EDB" w:rsidRPr="00B32020" w:rsidRDefault="00746EDB" w:rsidP="00B32020">
      <w:pPr>
        <w:rPr>
          <w:rFonts w:ascii="Arial" w:hAnsi="Arial" w:cs="Arial"/>
          <w:b/>
          <w:sz w:val="24"/>
          <w:szCs w:val="24"/>
        </w:rPr>
      </w:pPr>
    </w:p>
    <w:p w:rsidR="00510781" w:rsidRPr="00B32020" w:rsidRDefault="008C2712" w:rsidP="00B32020">
      <w:pPr>
        <w:rPr>
          <w:rFonts w:ascii="Arial" w:hAnsi="Arial" w:cs="Arial"/>
          <w:b/>
          <w:sz w:val="24"/>
          <w:szCs w:val="24"/>
        </w:rPr>
      </w:pPr>
      <w:r w:rsidRPr="00B32020">
        <w:rPr>
          <w:rFonts w:ascii="Arial" w:hAnsi="Arial" w:cs="Arial"/>
          <w:b/>
          <w:sz w:val="24"/>
          <w:szCs w:val="24"/>
        </w:rPr>
        <w:t>Bail</w:t>
      </w:r>
    </w:p>
    <w:p w:rsidR="004D3732" w:rsidRPr="00B32020" w:rsidRDefault="004D3732" w:rsidP="00B32020">
      <w:pPr>
        <w:rPr>
          <w:rFonts w:ascii="Arial" w:hAnsi="Arial" w:cs="Arial"/>
          <w:sz w:val="24"/>
          <w:szCs w:val="24"/>
        </w:rPr>
      </w:pPr>
    </w:p>
    <w:p w:rsidR="00510781" w:rsidRPr="00B32020" w:rsidRDefault="00F01613" w:rsidP="00B32020">
      <w:pPr>
        <w:pStyle w:val="ListParagraph"/>
        <w:numPr>
          <w:ilvl w:val="0"/>
          <w:numId w:val="15"/>
        </w:numPr>
        <w:ind w:left="284" w:hanging="284"/>
        <w:rPr>
          <w:szCs w:val="24"/>
        </w:rPr>
      </w:pPr>
      <w:r w:rsidRPr="00B32020">
        <w:rPr>
          <w:szCs w:val="24"/>
        </w:rPr>
        <w:t>Any applications relevant to bail</w:t>
      </w:r>
      <w:r w:rsidR="00510781" w:rsidRPr="00B32020">
        <w:rPr>
          <w:szCs w:val="24"/>
        </w:rPr>
        <w:t xml:space="preserve"> for defendants charged with a family violence offence will </w:t>
      </w:r>
      <w:r w:rsidR="000B3581" w:rsidRPr="00B32020">
        <w:rPr>
          <w:szCs w:val="24"/>
        </w:rPr>
        <w:t xml:space="preserve">be listed in the </w:t>
      </w:r>
      <w:r w:rsidR="008C2712" w:rsidRPr="00B32020">
        <w:rPr>
          <w:szCs w:val="24"/>
        </w:rPr>
        <w:t>A2 list</w:t>
      </w:r>
      <w:r w:rsidR="00510781" w:rsidRPr="00B32020">
        <w:rPr>
          <w:szCs w:val="24"/>
        </w:rPr>
        <w:t xml:space="preserve">. The </w:t>
      </w:r>
      <w:r w:rsidRPr="00B32020">
        <w:rPr>
          <w:szCs w:val="24"/>
        </w:rPr>
        <w:t xml:space="preserve">defendant must give to the </w:t>
      </w:r>
      <w:r w:rsidR="00510781" w:rsidRPr="00B32020">
        <w:rPr>
          <w:szCs w:val="24"/>
        </w:rPr>
        <w:t xml:space="preserve">DPP and the </w:t>
      </w:r>
      <w:r w:rsidR="00B32020">
        <w:rPr>
          <w:szCs w:val="24"/>
        </w:rPr>
        <w:t>C</w:t>
      </w:r>
      <w:r w:rsidR="00510781" w:rsidRPr="00B32020">
        <w:rPr>
          <w:szCs w:val="24"/>
        </w:rPr>
        <w:t>ourt at least 48 hours notice of any bail applications</w:t>
      </w:r>
      <w:r w:rsidR="00493AD4" w:rsidRPr="00B32020">
        <w:rPr>
          <w:szCs w:val="24"/>
        </w:rPr>
        <w:t xml:space="preserve"> except when the </w:t>
      </w:r>
      <w:r w:rsidR="00493AD4" w:rsidRPr="00B32020">
        <w:rPr>
          <w:szCs w:val="24"/>
        </w:rPr>
        <w:lastRenderedPageBreak/>
        <w:t>defenda</w:t>
      </w:r>
      <w:r w:rsidR="00B32020">
        <w:rPr>
          <w:szCs w:val="24"/>
        </w:rPr>
        <w:t>nt is first brought before the C</w:t>
      </w:r>
      <w:r w:rsidR="00493AD4" w:rsidRPr="00B32020">
        <w:rPr>
          <w:szCs w:val="24"/>
        </w:rPr>
        <w:t>ourt in the A2 list</w:t>
      </w:r>
      <w:r w:rsidR="002B6D4C" w:rsidRPr="00B32020">
        <w:rPr>
          <w:szCs w:val="24"/>
        </w:rPr>
        <w:t xml:space="preserve"> </w:t>
      </w:r>
      <w:r w:rsidR="00B32020">
        <w:rPr>
          <w:szCs w:val="24"/>
        </w:rPr>
        <w:t>unless the C</w:t>
      </w:r>
      <w:r w:rsidR="00510781" w:rsidRPr="00B32020">
        <w:rPr>
          <w:szCs w:val="24"/>
        </w:rPr>
        <w:t xml:space="preserve">ourt orders otherwise. </w:t>
      </w:r>
    </w:p>
    <w:p w:rsidR="002769F5" w:rsidRPr="00B32020" w:rsidRDefault="002769F5" w:rsidP="00B32020">
      <w:pPr>
        <w:rPr>
          <w:rFonts w:ascii="Arial" w:hAnsi="Arial" w:cs="Arial"/>
          <w:sz w:val="24"/>
          <w:szCs w:val="24"/>
        </w:rPr>
      </w:pPr>
    </w:p>
    <w:p w:rsidR="00A06ADF" w:rsidRPr="00B32020" w:rsidRDefault="00A06ADF" w:rsidP="00B32020">
      <w:pPr>
        <w:rPr>
          <w:rFonts w:ascii="Arial" w:hAnsi="Arial" w:cs="Arial"/>
          <w:b/>
          <w:sz w:val="24"/>
          <w:szCs w:val="24"/>
        </w:rPr>
      </w:pPr>
      <w:r w:rsidRPr="00B32020">
        <w:rPr>
          <w:rFonts w:ascii="Arial" w:hAnsi="Arial" w:cs="Arial"/>
          <w:b/>
          <w:bCs/>
          <w:iCs/>
          <w:sz w:val="24"/>
          <w:szCs w:val="24"/>
        </w:rPr>
        <w:t>Adjournment for legal advice</w:t>
      </w:r>
    </w:p>
    <w:p w:rsidR="00746EDB" w:rsidRPr="00B32020" w:rsidRDefault="00746EDB" w:rsidP="00B32020">
      <w:pPr>
        <w:rPr>
          <w:rFonts w:ascii="Arial" w:hAnsi="Arial" w:cs="Arial"/>
          <w:sz w:val="24"/>
          <w:szCs w:val="24"/>
        </w:rPr>
      </w:pPr>
    </w:p>
    <w:p w:rsidR="00A06ADF" w:rsidRPr="00B32020" w:rsidRDefault="00A06ADF" w:rsidP="00B32020">
      <w:pPr>
        <w:pStyle w:val="ListParagraph"/>
        <w:numPr>
          <w:ilvl w:val="0"/>
          <w:numId w:val="15"/>
        </w:numPr>
        <w:ind w:left="426" w:hanging="426"/>
        <w:rPr>
          <w:szCs w:val="24"/>
        </w:rPr>
      </w:pPr>
      <w:r w:rsidRPr="00B32020">
        <w:rPr>
          <w:szCs w:val="24"/>
        </w:rPr>
        <w:t xml:space="preserve">At the first </w:t>
      </w:r>
      <w:r w:rsidR="00493AD4" w:rsidRPr="00B32020">
        <w:rPr>
          <w:szCs w:val="24"/>
        </w:rPr>
        <w:t xml:space="preserve">mention </w:t>
      </w:r>
      <w:r w:rsidR="00B32020">
        <w:rPr>
          <w:szCs w:val="24"/>
        </w:rPr>
        <w:t>date the C</w:t>
      </w:r>
      <w:r w:rsidRPr="00B32020">
        <w:rPr>
          <w:szCs w:val="24"/>
        </w:rPr>
        <w:t xml:space="preserve">ourt </w:t>
      </w:r>
      <w:r w:rsidR="002769F5" w:rsidRPr="00B32020">
        <w:rPr>
          <w:szCs w:val="24"/>
        </w:rPr>
        <w:t>may</w:t>
      </w:r>
      <w:r w:rsidRPr="00B32020">
        <w:rPr>
          <w:szCs w:val="24"/>
        </w:rPr>
        <w:t xml:space="preserve"> allow </w:t>
      </w:r>
      <w:r w:rsidR="008C2712" w:rsidRPr="00B32020">
        <w:rPr>
          <w:szCs w:val="24"/>
        </w:rPr>
        <w:t>a defendant</w:t>
      </w:r>
      <w:r w:rsidRPr="00B32020">
        <w:rPr>
          <w:szCs w:val="24"/>
        </w:rPr>
        <w:t xml:space="preserve"> an adjournment </w:t>
      </w:r>
      <w:r w:rsidR="002769F5" w:rsidRPr="00B32020">
        <w:rPr>
          <w:szCs w:val="24"/>
        </w:rPr>
        <w:t>of</w:t>
      </w:r>
      <w:r w:rsidRPr="00B32020">
        <w:rPr>
          <w:szCs w:val="24"/>
        </w:rPr>
        <w:t xml:space="preserve"> up </w:t>
      </w:r>
      <w:r w:rsidR="002769F5" w:rsidRPr="00B32020">
        <w:rPr>
          <w:szCs w:val="24"/>
        </w:rPr>
        <w:t xml:space="preserve">to </w:t>
      </w:r>
      <w:r w:rsidR="00F47C1B" w:rsidRPr="00B32020">
        <w:rPr>
          <w:szCs w:val="24"/>
        </w:rPr>
        <w:t>4</w:t>
      </w:r>
      <w:r w:rsidR="002769F5" w:rsidRPr="00B32020">
        <w:rPr>
          <w:szCs w:val="24"/>
        </w:rPr>
        <w:t> </w:t>
      </w:r>
      <w:r w:rsidR="000B3581" w:rsidRPr="00B32020">
        <w:rPr>
          <w:szCs w:val="24"/>
        </w:rPr>
        <w:t>weeks to obtain legal a</w:t>
      </w:r>
      <w:r w:rsidR="008C2712" w:rsidRPr="00B32020">
        <w:rPr>
          <w:szCs w:val="24"/>
        </w:rPr>
        <w:t>dvice, including accessing any family violence evidence in chief i</w:t>
      </w:r>
      <w:r w:rsidR="000B3581" w:rsidRPr="00B32020">
        <w:rPr>
          <w:szCs w:val="24"/>
        </w:rPr>
        <w:t xml:space="preserve">nterview that may have been </w:t>
      </w:r>
      <w:r w:rsidR="00493AD4" w:rsidRPr="00B32020">
        <w:rPr>
          <w:szCs w:val="24"/>
        </w:rPr>
        <w:t xml:space="preserve">recorded </w:t>
      </w:r>
      <w:r w:rsidR="000B3581" w:rsidRPr="00B32020">
        <w:rPr>
          <w:szCs w:val="24"/>
        </w:rPr>
        <w:t>in the matter.</w:t>
      </w:r>
    </w:p>
    <w:p w:rsidR="001D6451" w:rsidRPr="00B32020" w:rsidRDefault="001D6451" w:rsidP="00B32020">
      <w:pPr>
        <w:ind w:left="426" w:hanging="426"/>
        <w:rPr>
          <w:rFonts w:ascii="Arial" w:hAnsi="Arial" w:cs="Arial"/>
          <w:sz w:val="24"/>
          <w:szCs w:val="24"/>
        </w:rPr>
      </w:pPr>
    </w:p>
    <w:p w:rsidR="00121949" w:rsidRPr="00B32020" w:rsidRDefault="000B3581" w:rsidP="00B32020">
      <w:pPr>
        <w:pStyle w:val="ListParagraph"/>
        <w:numPr>
          <w:ilvl w:val="0"/>
          <w:numId w:val="15"/>
        </w:numPr>
        <w:ind w:left="426" w:hanging="426"/>
        <w:rPr>
          <w:szCs w:val="24"/>
        </w:rPr>
      </w:pPr>
      <w:r w:rsidRPr="00B32020">
        <w:rPr>
          <w:szCs w:val="24"/>
        </w:rPr>
        <w:t>In the usual case, t</w:t>
      </w:r>
      <w:r w:rsidR="00121949" w:rsidRPr="00B32020">
        <w:rPr>
          <w:szCs w:val="24"/>
        </w:rPr>
        <w:t xml:space="preserve">he defendant will be expected to enter a plea by the second </w:t>
      </w:r>
      <w:r w:rsidR="00493AD4" w:rsidRPr="00B32020">
        <w:rPr>
          <w:szCs w:val="24"/>
        </w:rPr>
        <w:t xml:space="preserve">mention </w:t>
      </w:r>
      <w:r w:rsidR="00121949" w:rsidRPr="00B32020">
        <w:rPr>
          <w:szCs w:val="24"/>
        </w:rPr>
        <w:t xml:space="preserve">date. </w:t>
      </w:r>
    </w:p>
    <w:p w:rsidR="002769F5" w:rsidRPr="00B32020" w:rsidRDefault="002769F5" w:rsidP="00B32020">
      <w:pPr>
        <w:pStyle w:val="Default"/>
        <w:tabs>
          <w:tab w:val="left" w:pos="1134"/>
        </w:tabs>
        <w:rPr>
          <w:rFonts w:ascii="Arial" w:hAnsi="Arial" w:cs="Arial"/>
        </w:rPr>
      </w:pPr>
    </w:p>
    <w:p w:rsidR="009777F3" w:rsidRPr="00B32020" w:rsidRDefault="009777F3" w:rsidP="00B32020">
      <w:pPr>
        <w:pStyle w:val="Default"/>
        <w:keepNext/>
        <w:tabs>
          <w:tab w:val="left" w:pos="426"/>
        </w:tabs>
        <w:rPr>
          <w:rFonts w:ascii="Arial" w:hAnsi="Arial" w:cs="Arial"/>
        </w:rPr>
      </w:pPr>
      <w:r w:rsidRPr="00B32020">
        <w:rPr>
          <w:rFonts w:ascii="Arial" w:hAnsi="Arial" w:cs="Arial"/>
          <w:b/>
          <w:bCs/>
          <w:lang w:val="en-AU"/>
        </w:rPr>
        <w:t>Process following a not guilty plea</w:t>
      </w:r>
    </w:p>
    <w:p w:rsidR="003923D3" w:rsidRPr="00B32020" w:rsidRDefault="003923D3" w:rsidP="00B32020">
      <w:pPr>
        <w:pStyle w:val="Default"/>
        <w:tabs>
          <w:tab w:val="left" w:pos="851"/>
          <w:tab w:val="left" w:pos="993"/>
        </w:tabs>
        <w:rPr>
          <w:rFonts w:ascii="Arial" w:hAnsi="Arial" w:cs="Arial"/>
        </w:rPr>
      </w:pPr>
    </w:p>
    <w:p w:rsidR="000B3581" w:rsidRPr="00B32020" w:rsidRDefault="002A0EA2" w:rsidP="00B32020">
      <w:pPr>
        <w:pStyle w:val="Default"/>
        <w:numPr>
          <w:ilvl w:val="0"/>
          <w:numId w:val="15"/>
        </w:numPr>
        <w:tabs>
          <w:tab w:val="left" w:pos="851"/>
          <w:tab w:val="left" w:pos="993"/>
        </w:tabs>
        <w:ind w:left="426" w:hanging="426"/>
        <w:rPr>
          <w:rFonts w:ascii="Arial" w:hAnsi="Arial" w:cs="Arial"/>
        </w:rPr>
      </w:pPr>
      <w:r w:rsidRPr="00B32020">
        <w:rPr>
          <w:rFonts w:ascii="Arial" w:hAnsi="Arial" w:cs="Arial"/>
        </w:rPr>
        <w:t xml:space="preserve">Where a defendant enters </w:t>
      </w:r>
      <w:r w:rsidR="00A06ADF" w:rsidRPr="00B32020">
        <w:rPr>
          <w:rFonts w:ascii="Arial" w:hAnsi="Arial" w:cs="Arial"/>
        </w:rPr>
        <w:t>a plea of not guilty</w:t>
      </w:r>
      <w:r w:rsidR="000B3581" w:rsidRPr="00B32020">
        <w:rPr>
          <w:rFonts w:ascii="Arial" w:hAnsi="Arial" w:cs="Arial"/>
        </w:rPr>
        <w:t xml:space="preserve"> to a summary charge,</w:t>
      </w:r>
      <w:r w:rsidR="00A06ADF" w:rsidRPr="00B32020">
        <w:rPr>
          <w:rFonts w:ascii="Arial" w:hAnsi="Arial" w:cs="Arial"/>
        </w:rPr>
        <w:t xml:space="preserve"> the </w:t>
      </w:r>
      <w:r w:rsidR="00B04802" w:rsidRPr="00B32020">
        <w:rPr>
          <w:rFonts w:ascii="Arial" w:hAnsi="Arial" w:cs="Arial"/>
        </w:rPr>
        <w:t xml:space="preserve">magistrate </w:t>
      </w:r>
      <w:r w:rsidR="000B3581" w:rsidRPr="00B32020">
        <w:rPr>
          <w:rFonts w:ascii="Arial" w:hAnsi="Arial" w:cs="Arial"/>
        </w:rPr>
        <w:t xml:space="preserve">may list the matter for hearing at </w:t>
      </w:r>
      <w:r w:rsidR="008C2712" w:rsidRPr="00B32020">
        <w:rPr>
          <w:rFonts w:ascii="Arial" w:hAnsi="Arial" w:cs="Arial"/>
        </w:rPr>
        <w:t>a</w:t>
      </w:r>
      <w:r w:rsidR="000B3581" w:rsidRPr="00B32020">
        <w:rPr>
          <w:rFonts w:ascii="Arial" w:hAnsi="Arial" w:cs="Arial"/>
        </w:rPr>
        <w:t xml:space="preserve"> date</w:t>
      </w:r>
      <w:r w:rsidR="00193DEE" w:rsidRPr="00B32020">
        <w:rPr>
          <w:rFonts w:ascii="Arial" w:hAnsi="Arial" w:cs="Arial"/>
        </w:rPr>
        <w:t xml:space="preserve"> </w:t>
      </w:r>
      <w:r w:rsidR="00A05EC6" w:rsidRPr="00B32020">
        <w:rPr>
          <w:rFonts w:ascii="Arial" w:hAnsi="Arial" w:cs="Arial"/>
        </w:rPr>
        <w:t xml:space="preserve">generally </w:t>
      </w:r>
      <w:r w:rsidR="00193DEE" w:rsidRPr="00B32020">
        <w:rPr>
          <w:rFonts w:ascii="Arial" w:hAnsi="Arial" w:cs="Arial"/>
        </w:rPr>
        <w:t>not earlier than six weeks</w:t>
      </w:r>
      <w:r w:rsidR="00A05EC6" w:rsidRPr="00B32020">
        <w:rPr>
          <w:rFonts w:ascii="Arial" w:hAnsi="Arial" w:cs="Arial"/>
        </w:rPr>
        <w:t>, unless the parties agree that the matter can proceed earlier.</w:t>
      </w:r>
      <w:r w:rsidR="00CF6D03" w:rsidRPr="00B32020">
        <w:rPr>
          <w:rFonts w:ascii="Arial" w:hAnsi="Arial" w:cs="Arial"/>
        </w:rPr>
        <w:t xml:space="preserve">  The Court will make directions for the service of the brief of evidence not later than two weeks prior to the hearing date</w:t>
      </w:r>
      <w:r w:rsidR="0053168B" w:rsidRPr="00B32020">
        <w:rPr>
          <w:rFonts w:ascii="Arial" w:hAnsi="Arial" w:cs="Arial"/>
        </w:rPr>
        <w:t>, unless the defence waives that requirement</w:t>
      </w:r>
      <w:r w:rsidR="00CF6D03" w:rsidRPr="00B32020">
        <w:rPr>
          <w:rFonts w:ascii="Arial" w:hAnsi="Arial" w:cs="Arial"/>
        </w:rPr>
        <w:t xml:space="preserve">.  </w:t>
      </w:r>
    </w:p>
    <w:p w:rsidR="000B3581" w:rsidRPr="00B32020" w:rsidRDefault="000B3581" w:rsidP="00B32020">
      <w:pPr>
        <w:pStyle w:val="Default"/>
        <w:tabs>
          <w:tab w:val="left" w:pos="851"/>
          <w:tab w:val="left" w:pos="993"/>
        </w:tabs>
        <w:ind w:left="426" w:hanging="426"/>
        <w:rPr>
          <w:rFonts w:ascii="Arial" w:hAnsi="Arial" w:cs="Arial"/>
        </w:rPr>
      </w:pPr>
    </w:p>
    <w:p w:rsidR="00360D9F" w:rsidRPr="00B32020" w:rsidRDefault="000B3581" w:rsidP="00B32020">
      <w:pPr>
        <w:pStyle w:val="Default"/>
        <w:numPr>
          <w:ilvl w:val="0"/>
          <w:numId w:val="15"/>
        </w:numPr>
        <w:tabs>
          <w:tab w:val="left" w:pos="851"/>
          <w:tab w:val="left" w:pos="993"/>
        </w:tabs>
        <w:ind w:left="426" w:hanging="426"/>
        <w:rPr>
          <w:rFonts w:ascii="Arial" w:hAnsi="Arial" w:cs="Arial"/>
        </w:rPr>
      </w:pPr>
      <w:r w:rsidRPr="00B32020">
        <w:rPr>
          <w:rFonts w:ascii="Arial" w:hAnsi="Arial" w:cs="Arial"/>
        </w:rPr>
        <w:t xml:space="preserve">Where the defendant enters a plea of not guilty to an indictable charge or charges, </w:t>
      </w:r>
      <w:r w:rsidR="00193DEE" w:rsidRPr="00B32020">
        <w:rPr>
          <w:rFonts w:ascii="Arial" w:hAnsi="Arial" w:cs="Arial"/>
        </w:rPr>
        <w:t xml:space="preserve">and </w:t>
      </w:r>
      <w:r w:rsidR="008C2712" w:rsidRPr="00B32020">
        <w:rPr>
          <w:rFonts w:ascii="Arial" w:hAnsi="Arial" w:cs="Arial"/>
        </w:rPr>
        <w:t xml:space="preserve">where there is no </w:t>
      </w:r>
      <w:r w:rsidR="00193DEE" w:rsidRPr="00B32020">
        <w:rPr>
          <w:rFonts w:ascii="Arial" w:hAnsi="Arial" w:cs="Arial"/>
        </w:rPr>
        <w:t xml:space="preserve">consent to the jurisdiction by any relevant party, </w:t>
      </w:r>
      <w:r w:rsidRPr="00B32020">
        <w:rPr>
          <w:rFonts w:ascii="Arial" w:hAnsi="Arial" w:cs="Arial"/>
        </w:rPr>
        <w:t xml:space="preserve">the magistrate may commit the matter to the Supreme Court for trial </w:t>
      </w:r>
      <w:r w:rsidR="00193DEE" w:rsidRPr="00B32020">
        <w:rPr>
          <w:rFonts w:ascii="Arial" w:hAnsi="Arial" w:cs="Arial"/>
        </w:rPr>
        <w:t xml:space="preserve">pursuant to section 88A or section 88B of the </w:t>
      </w:r>
      <w:r w:rsidR="00193DEE" w:rsidRPr="00B32020">
        <w:rPr>
          <w:rFonts w:ascii="Arial" w:hAnsi="Arial" w:cs="Arial"/>
          <w:i/>
        </w:rPr>
        <w:t>Magistrates Court Act 1930</w:t>
      </w:r>
      <w:r w:rsidR="00530B6C" w:rsidRPr="00B32020">
        <w:rPr>
          <w:rFonts w:ascii="Arial" w:hAnsi="Arial" w:cs="Arial"/>
        </w:rPr>
        <w:t>, or adjourn the matter fo</w:t>
      </w:r>
      <w:r w:rsidR="00193DEE" w:rsidRPr="00B32020">
        <w:rPr>
          <w:rFonts w:ascii="Arial" w:hAnsi="Arial" w:cs="Arial"/>
        </w:rPr>
        <w:t xml:space="preserve">r preparation of a full brief of evidence and </w:t>
      </w:r>
      <w:r w:rsidR="00530B6C" w:rsidRPr="00B32020">
        <w:rPr>
          <w:rFonts w:ascii="Arial" w:hAnsi="Arial" w:cs="Arial"/>
        </w:rPr>
        <w:t>further mention</w:t>
      </w:r>
      <w:r w:rsidR="008C2712" w:rsidRPr="00B32020">
        <w:rPr>
          <w:rFonts w:ascii="Arial" w:hAnsi="Arial" w:cs="Arial"/>
        </w:rPr>
        <w:t xml:space="preserve"> for committal pursuant to Part 3.5 of the </w:t>
      </w:r>
      <w:r w:rsidR="008C2712" w:rsidRPr="00B32020">
        <w:rPr>
          <w:rFonts w:ascii="Arial" w:hAnsi="Arial" w:cs="Arial"/>
          <w:i/>
        </w:rPr>
        <w:t>Magistrates Court Act 1930</w:t>
      </w:r>
      <w:r w:rsidR="00530B6C" w:rsidRPr="00B32020">
        <w:rPr>
          <w:rFonts w:ascii="Arial" w:hAnsi="Arial" w:cs="Arial"/>
        </w:rPr>
        <w:t xml:space="preserve">. </w:t>
      </w:r>
      <w:r w:rsidR="00193DEE" w:rsidRPr="00B32020">
        <w:rPr>
          <w:rFonts w:ascii="Arial" w:hAnsi="Arial" w:cs="Arial"/>
        </w:rPr>
        <w:t>The mention</w:t>
      </w:r>
      <w:r w:rsidR="00530B6C" w:rsidRPr="00B32020">
        <w:rPr>
          <w:rFonts w:ascii="Arial" w:hAnsi="Arial" w:cs="Arial"/>
        </w:rPr>
        <w:t xml:space="preserve"> date </w:t>
      </w:r>
      <w:r w:rsidR="00493AD4" w:rsidRPr="00B32020">
        <w:rPr>
          <w:rFonts w:ascii="Arial" w:hAnsi="Arial" w:cs="Arial"/>
        </w:rPr>
        <w:t>will</w:t>
      </w:r>
      <w:r w:rsidR="00530B6C" w:rsidRPr="00B32020">
        <w:rPr>
          <w:rFonts w:ascii="Arial" w:hAnsi="Arial" w:cs="Arial"/>
        </w:rPr>
        <w:t xml:space="preserve"> be set </w:t>
      </w:r>
      <w:r w:rsidR="00193DEE" w:rsidRPr="00B32020">
        <w:rPr>
          <w:rFonts w:ascii="Arial" w:hAnsi="Arial" w:cs="Arial"/>
        </w:rPr>
        <w:t>taking</w:t>
      </w:r>
      <w:r w:rsidR="00B04802" w:rsidRPr="00B32020">
        <w:rPr>
          <w:rFonts w:ascii="Arial" w:hAnsi="Arial" w:cs="Arial"/>
        </w:rPr>
        <w:t xml:space="preserve"> into account </w:t>
      </w:r>
      <w:r w:rsidR="005317B9" w:rsidRPr="00B32020">
        <w:rPr>
          <w:rFonts w:ascii="Arial" w:hAnsi="Arial" w:cs="Arial"/>
        </w:rPr>
        <w:t>relevant factors including</w:t>
      </w:r>
      <w:r w:rsidR="00B04802" w:rsidRPr="00B32020">
        <w:rPr>
          <w:rFonts w:ascii="Arial" w:hAnsi="Arial" w:cs="Arial"/>
        </w:rPr>
        <w:t xml:space="preserve"> the number of charges, the complexity of the case and any other considerations relevant to having the matter dealt with as expeditiously as possible</w:t>
      </w:r>
      <w:r w:rsidR="00493AD4" w:rsidRPr="00B32020">
        <w:rPr>
          <w:rFonts w:ascii="Arial" w:hAnsi="Arial" w:cs="Arial"/>
        </w:rPr>
        <w:t>.</w:t>
      </w:r>
      <w:r w:rsidR="005317B9" w:rsidRPr="00B32020">
        <w:rPr>
          <w:rFonts w:ascii="Arial" w:hAnsi="Arial" w:cs="Arial"/>
        </w:rPr>
        <w:t xml:space="preserve"> Where the defendant is in custody that </w:t>
      </w:r>
      <w:r w:rsidR="00C12F70" w:rsidRPr="00B32020">
        <w:rPr>
          <w:rFonts w:ascii="Arial" w:hAnsi="Arial" w:cs="Arial"/>
        </w:rPr>
        <w:t xml:space="preserve">date </w:t>
      </w:r>
      <w:r w:rsidR="00493AD4" w:rsidRPr="00B32020">
        <w:rPr>
          <w:rFonts w:ascii="Arial" w:hAnsi="Arial" w:cs="Arial"/>
        </w:rPr>
        <w:t xml:space="preserve">will </w:t>
      </w:r>
      <w:r w:rsidR="005317B9" w:rsidRPr="00B32020">
        <w:rPr>
          <w:rFonts w:ascii="Arial" w:hAnsi="Arial" w:cs="Arial"/>
        </w:rPr>
        <w:t>usu</w:t>
      </w:r>
      <w:r w:rsidR="00193DEE" w:rsidRPr="00B32020">
        <w:rPr>
          <w:rFonts w:ascii="Arial" w:hAnsi="Arial" w:cs="Arial"/>
        </w:rPr>
        <w:t xml:space="preserve">ally be no </w:t>
      </w:r>
      <w:r w:rsidR="00A05EC6" w:rsidRPr="00B32020">
        <w:rPr>
          <w:rFonts w:ascii="Arial" w:hAnsi="Arial" w:cs="Arial"/>
        </w:rPr>
        <w:t>more</w:t>
      </w:r>
      <w:r w:rsidR="00193DEE" w:rsidRPr="00B32020">
        <w:rPr>
          <w:rFonts w:ascii="Arial" w:hAnsi="Arial" w:cs="Arial"/>
        </w:rPr>
        <w:t xml:space="preserve"> than </w:t>
      </w:r>
      <w:r w:rsidR="00A05EC6" w:rsidRPr="00B32020">
        <w:rPr>
          <w:rFonts w:ascii="Arial" w:hAnsi="Arial" w:cs="Arial"/>
        </w:rPr>
        <w:t>four</w:t>
      </w:r>
      <w:r w:rsidR="005317B9" w:rsidRPr="00B32020">
        <w:rPr>
          <w:rFonts w:ascii="Arial" w:hAnsi="Arial" w:cs="Arial"/>
        </w:rPr>
        <w:t xml:space="preserve"> weeks from entry of the plea or usually no less than </w:t>
      </w:r>
      <w:r w:rsidR="00A05EC6" w:rsidRPr="00B32020">
        <w:rPr>
          <w:rFonts w:ascii="Arial" w:hAnsi="Arial" w:cs="Arial"/>
        </w:rPr>
        <w:t>six</w:t>
      </w:r>
      <w:r w:rsidR="005317B9" w:rsidRPr="00B32020">
        <w:rPr>
          <w:rFonts w:ascii="Arial" w:hAnsi="Arial" w:cs="Arial"/>
        </w:rPr>
        <w:t xml:space="preserve"> weeks if the defendant is not in custody.</w:t>
      </w:r>
      <w:r w:rsidR="00360D9F" w:rsidRPr="00B32020">
        <w:rPr>
          <w:rFonts w:ascii="Arial" w:hAnsi="Arial" w:cs="Arial"/>
        </w:rPr>
        <w:t xml:space="preserve"> </w:t>
      </w:r>
    </w:p>
    <w:p w:rsidR="00360D9F" w:rsidRPr="00B32020" w:rsidRDefault="00360D9F" w:rsidP="00B32020">
      <w:pPr>
        <w:pStyle w:val="Default"/>
        <w:tabs>
          <w:tab w:val="left" w:pos="851"/>
          <w:tab w:val="left" w:pos="993"/>
        </w:tabs>
        <w:ind w:left="426" w:hanging="426"/>
        <w:rPr>
          <w:rFonts w:ascii="Arial" w:hAnsi="Arial" w:cs="Arial"/>
        </w:rPr>
      </w:pPr>
    </w:p>
    <w:p w:rsidR="00193DEE" w:rsidRPr="00B32020" w:rsidRDefault="00360D9F" w:rsidP="00B32020">
      <w:pPr>
        <w:pStyle w:val="Default"/>
        <w:numPr>
          <w:ilvl w:val="0"/>
          <w:numId w:val="15"/>
        </w:numPr>
        <w:tabs>
          <w:tab w:val="left" w:pos="851"/>
          <w:tab w:val="left" w:pos="993"/>
        </w:tabs>
        <w:ind w:left="426" w:hanging="426"/>
        <w:rPr>
          <w:rFonts w:ascii="Arial" w:hAnsi="Arial" w:cs="Arial"/>
        </w:rPr>
      </w:pPr>
      <w:r w:rsidRPr="00B32020">
        <w:rPr>
          <w:rFonts w:ascii="Arial" w:hAnsi="Arial" w:cs="Arial"/>
        </w:rPr>
        <w:t>If</w:t>
      </w:r>
      <w:r w:rsidR="00C12F70" w:rsidRPr="00B32020">
        <w:rPr>
          <w:rFonts w:ascii="Arial" w:hAnsi="Arial" w:cs="Arial"/>
        </w:rPr>
        <w:t xml:space="preserve"> after consideration of the brief</w:t>
      </w:r>
      <w:r w:rsidRPr="00B32020">
        <w:rPr>
          <w:rFonts w:ascii="Arial" w:hAnsi="Arial" w:cs="Arial"/>
        </w:rPr>
        <w:t xml:space="preserve"> </w:t>
      </w:r>
      <w:r w:rsidR="00C12F70" w:rsidRPr="00B32020">
        <w:rPr>
          <w:rFonts w:ascii="Arial" w:hAnsi="Arial" w:cs="Arial"/>
        </w:rPr>
        <w:t xml:space="preserve">relevant consents to jurisdiction are given and the matter is to </w:t>
      </w:r>
      <w:r w:rsidRPr="00B32020">
        <w:rPr>
          <w:rFonts w:ascii="Arial" w:hAnsi="Arial" w:cs="Arial"/>
        </w:rPr>
        <w:t xml:space="preserve">remain in the Magistrates Court, </w:t>
      </w:r>
      <w:r w:rsidR="00C12F70" w:rsidRPr="00B32020">
        <w:rPr>
          <w:rFonts w:ascii="Arial" w:hAnsi="Arial" w:cs="Arial"/>
        </w:rPr>
        <w:t>it</w:t>
      </w:r>
      <w:r w:rsidR="002B6D4C" w:rsidRPr="00B32020">
        <w:rPr>
          <w:rFonts w:ascii="Arial" w:hAnsi="Arial" w:cs="Arial"/>
        </w:rPr>
        <w:t xml:space="preserve"> will be listed for</w:t>
      </w:r>
      <w:r w:rsidRPr="00B32020">
        <w:rPr>
          <w:rFonts w:ascii="Arial" w:hAnsi="Arial" w:cs="Arial"/>
        </w:rPr>
        <w:t xml:space="preserve"> hearing</w:t>
      </w:r>
      <w:r w:rsidR="002B6D4C" w:rsidRPr="00B32020">
        <w:rPr>
          <w:rFonts w:ascii="Arial" w:hAnsi="Arial" w:cs="Arial"/>
        </w:rPr>
        <w:t xml:space="preserve"> </w:t>
      </w:r>
      <w:r w:rsidRPr="00B32020">
        <w:rPr>
          <w:rFonts w:ascii="Arial" w:hAnsi="Arial" w:cs="Arial"/>
        </w:rPr>
        <w:t>at the first appropriate date at the discretion of the magistrate following consideration of any submissions of the parties.</w:t>
      </w:r>
    </w:p>
    <w:p w:rsidR="00193DEE" w:rsidRPr="00B32020" w:rsidRDefault="00193DEE" w:rsidP="00B32020">
      <w:pPr>
        <w:pStyle w:val="Default"/>
        <w:tabs>
          <w:tab w:val="left" w:pos="851"/>
          <w:tab w:val="left" w:pos="993"/>
        </w:tabs>
        <w:rPr>
          <w:rFonts w:ascii="Arial" w:hAnsi="Arial" w:cs="Arial"/>
        </w:rPr>
      </w:pPr>
    </w:p>
    <w:p w:rsidR="00B75EBD" w:rsidRPr="00B32020" w:rsidRDefault="001D6451" w:rsidP="00B32020">
      <w:pPr>
        <w:pStyle w:val="Default"/>
        <w:keepNext/>
        <w:rPr>
          <w:rFonts w:ascii="Arial" w:hAnsi="Arial" w:cs="Arial"/>
          <w:lang w:val="en-AU"/>
        </w:rPr>
      </w:pPr>
      <w:r w:rsidRPr="00B32020">
        <w:rPr>
          <w:rFonts w:ascii="Arial" w:hAnsi="Arial" w:cs="Arial"/>
          <w:b/>
          <w:bCs/>
          <w:iCs/>
          <w:lang w:val="en-AU"/>
        </w:rPr>
        <w:t>Change of Plea</w:t>
      </w:r>
    </w:p>
    <w:p w:rsidR="003923D3" w:rsidRPr="00B32020" w:rsidRDefault="003923D3" w:rsidP="00B32020">
      <w:pPr>
        <w:pStyle w:val="Default"/>
        <w:rPr>
          <w:rFonts w:ascii="Arial" w:hAnsi="Arial" w:cs="Arial"/>
          <w:lang w:val="en-AU"/>
        </w:rPr>
      </w:pPr>
    </w:p>
    <w:p w:rsidR="0053168B" w:rsidRPr="00B32020" w:rsidRDefault="00B75EBD" w:rsidP="00B32020">
      <w:pPr>
        <w:pStyle w:val="ListParagraph"/>
        <w:numPr>
          <w:ilvl w:val="0"/>
          <w:numId w:val="15"/>
        </w:numPr>
        <w:ind w:left="426" w:hanging="426"/>
        <w:rPr>
          <w:szCs w:val="24"/>
        </w:rPr>
      </w:pPr>
      <w:r w:rsidRPr="00B32020">
        <w:rPr>
          <w:szCs w:val="24"/>
        </w:rPr>
        <w:t xml:space="preserve">Where a date has been set </w:t>
      </w:r>
      <w:r w:rsidR="001D6451" w:rsidRPr="00B32020">
        <w:rPr>
          <w:szCs w:val="24"/>
        </w:rPr>
        <w:t xml:space="preserve">for the hearing of a matter and the defendant </w:t>
      </w:r>
      <w:r w:rsidR="00193DEE" w:rsidRPr="00B32020">
        <w:rPr>
          <w:szCs w:val="24"/>
        </w:rPr>
        <w:t>intends</w:t>
      </w:r>
      <w:r w:rsidR="001D6451" w:rsidRPr="00B32020">
        <w:rPr>
          <w:szCs w:val="24"/>
        </w:rPr>
        <w:t xml:space="preserve"> to change his or her plea</w:t>
      </w:r>
      <w:r w:rsidR="00193DEE" w:rsidRPr="00B32020">
        <w:rPr>
          <w:szCs w:val="24"/>
        </w:rPr>
        <w:t>,</w:t>
      </w:r>
      <w:r w:rsidR="001D6451" w:rsidRPr="00B32020">
        <w:rPr>
          <w:szCs w:val="24"/>
        </w:rPr>
        <w:t xml:space="preserve"> </w:t>
      </w:r>
      <w:r w:rsidR="00A05EC6" w:rsidRPr="00B32020">
        <w:rPr>
          <w:szCs w:val="24"/>
        </w:rPr>
        <w:t xml:space="preserve">the </w:t>
      </w:r>
      <w:r w:rsidR="00CF6D03" w:rsidRPr="00B32020">
        <w:rPr>
          <w:szCs w:val="24"/>
        </w:rPr>
        <w:t xml:space="preserve">defendant </w:t>
      </w:r>
      <w:r w:rsidR="001D6451" w:rsidRPr="00B32020">
        <w:rPr>
          <w:szCs w:val="24"/>
        </w:rPr>
        <w:t>m</w:t>
      </w:r>
      <w:r w:rsidR="00F47C1B" w:rsidRPr="00B32020">
        <w:rPr>
          <w:szCs w:val="24"/>
        </w:rPr>
        <w:t>ust</w:t>
      </w:r>
      <w:r w:rsidR="001D6451" w:rsidRPr="00B32020">
        <w:rPr>
          <w:szCs w:val="24"/>
        </w:rPr>
        <w:t xml:space="preserve"> </w:t>
      </w:r>
      <w:r w:rsidR="00A05EC6" w:rsidRPr="00B32020">
        <w:rPr>
          <w:szCs w:val="24"/>
        </w:rPr>
        <w:t xml:space="preserve">send </w:t>
      </w:r>
      <w:r w:rsidR="00CF6D03" w:rsidRPr="00B32020">
        <w:rPr>
          <w:szCs w:val="24"/>
        </w:rPr>
        <w:t xml:space="preserve">an </w:t>
      </w:r>
      <w:r w:rsidR="00A05EC6" w:rsidRPr="00B32020">
        <w:rPr>
          <w:szCs w:val="24"/>
        </w:rPr>
        <w:t>email to the</w:t>
      </w:r>
      <w:r w:rsidR="00F47C1B" w:rsidRPr="00B32020">
        <w:rPr>
          <w:szCs w:val="24"/>
        </w:rPr>
        <w:t xml:space="preserve"> </w:t>
      </w:r>
      <w:r w:rsidR="00B32020">
        <w:rPr>
          <w:szCs w:val="24"/>
        </w:rPr>
        <w:t>C</w:t>
      </w:r>
      <w:r w:rsidR="00F47C1B" w:rsidRPr="00B32020">
        <w:rPr>
          <w:szCs w:val="24"/>
        </w:rPr>
        <w:t>ourt</w:t>
      </w:r>
      <w:r w:rsidR="00CF6D03" w:rsidRPr="00B32020">
        <w:rPr>
          <w:szCs w:val="24"/>
        </w:rPr>
        <w:t xml:space="preserve">, copied </w:t>
      </w:r>
      <w:r w:rsidR="0053168B" w:rsidRPr="00B32020">
        <w:rPr>
          <w:szCs w:val="24"/>
        </w:rPr>
        <w:t xml:space="preserve">to </w:t>
      </w:r>
      <w:r w:rsidR="00CF6D03" w:rsidRPr="00B32020">
        <w:rPr>
          <w:szCs w:val="24"/>
        </w:rPr>
        <w:t>the prosec</w:t>
      </w:r>
      <w:r w:rsidR="0053168B" w:rsidRPr="00B32020">
        <w:rPr>
          <w:szCs w:val="24"/>
        </w:rPr>
        <w:t>ut</w:t>
      </w:r>
      <w:r w:rsidR="00CF6D03" w:rsidRPr="00B32020">
        <w:rPr>
          <w:szCs w:val="24"/>
        </w:rPr>
        <w:t>ion</w:t>
      </w:r>
      <w:r w:rsidR="00F47C1B" w:rsidRPr="00B32020">
        <w:rPr>
          <w:szCs w:val="24"/>
        </w:rPr>
        <w:t xml:space="preserve"> </w:t>
      </w:r>
      <w:r w:rsidR="00CF6D03" w:rsidRPr="00B32020">
        <w:rPr>
          <w:szCs w:val="24"/>
        </w:rPr>
        <w:t xml:space="preserve">to </w:t>
      </w:r>
      <w:hyperlink r:id="rId8" w:history="1">
        <w:r w:rsidR="002D2DF0" w:rsidRPr="00B32020">
          <w:rPr>
            <w:rStyle w:val="Hyperlink"/>
            <w:rFonts w:cs="Arial"/>
            <w:szCs w:val="24"/>
          </w:rPr>
          <w:t>mclistings@courts.act.gov.au</w:t>
        </w:r>
      </w:hyperlink>
      <w:r w:rsidR="00A05EC6" w:rsidRPr="00B32020">
        <w:rPr>
          <w:szCs w:val="24"/>
        </w:rPr>
        <w:t xml:space="preserve"> </w:t>
      </w:r>
      <w:r w:rsidR="0053168B" w:rsidRPr="00B32020">
        <w:rPr>
          <w:szCs w:val="24"/>
        </w:rPr>
        <w:t xml:space="preserve">at the earliest opportunity </w:t>
      </w:r>
      <w:r w:rsidR="00A05EC6" w:rsidRPr="00B32020">
        <w:rPr>
          <w:szCs w:val="24"/>
        </w:rPr>
        <w:t xml:space="preserve">in order </w:t>
      </w:r>
      <w:r w:rsidR="001D6451" w:rsidRPr="00B32020">
        <w:rPr>
          <w:szCs w:val="24"/>
        </w:rPr>
        <w:t xml:space="preserve">to have the matter relisted </w:t>
      </w:r>
      <w:r w:rsidR="00F47C1B" w:rsidRPr="00B32020">
        <w:rPr>
          <w:szCs w:val="24"/>
        </w:rPr>
        <w:t xml:space="preserve">in the next Family Violence list </w:t>
      </w:r>
      <w:r w:rsidR="001D6451" w:rsidRPr="00B32020">
        <w:rPr>
          <w:szCs w:val="24"/>
        </w:rPr>
        <w:t>for the plea to be tak</w:t>
      </w:r>
      <w:r w:rsidR="0053168B" w:rsidRPr="00B32020">
        <w:rPr>
          <w:szCs w:val="24"/>
        </w:rPr>
        <w:t xml:space="preserve">en. </w:t>
      </w:r>
    </w:p>
    <w:p w:rsidR="006A6B66" w:rsidRPr="00B32020" w:rsidRDefault="006A6B66" w:rsidP="00B32020">
      <w:pPr>
        <w:pStyle w:val="ListParagraph"/>
        <w:ind w:left="426" w:hanging="426"/>
        <w:rPr>
          <w:szCs w:val="24"/>
        </w:rPr>
      </w:pPr>
    </w:p>
    <w:p w:rsidR="0089666B" w:rsidRPr="00B32020" w:rsidRDefault="0053168B" w:rsidP="00B32020">
      <w:pPr>
        <w:pStyle w:val="ListParagraph"/>
        <w:numPr>
          <w:ilvl w:val="0"/>
          <w:numId w:val="15"/>
        </w:numPr>
        <w:ind w:left="426" w:hanging="426"/>
        <w:rPr>
          <w:szCs w:val="24"/>
        </w:rPr>
      </w:pPr>
      <w:r w:rsidRPr="00B32020">
        <w:rPr>
          <w:szCs w:val="24"/>
        </w:rPr>
        <w:t xml:space="preserve">Failure of the defence to </w:t>
      </w:r>
      <w:r w:rsidR="0089666B" w:rsidRPr="00B32020">
        <w:rPr>
          <w:szCs w:val="24"/>
        </w:rPr>
        <w:t>give notice at the earliest available opportunity may be addressed by an award of costs in favour of the informant incurred in preparation for or attendance at hearing.</w:t>
      </w:r>
    </w:p>
    <w:p w:rsidR="0089666B" w:rsidRPr="00B32020" w:rsidRDefault="0089666B" w:rsidP="00B32020">
      <w:pPr>
        <w:rPr>
          <w:rFonts w:ascii="Arial" w:hAnsi="Arial" w:cs="Arial"/>
          <w:sz w:val="24"/>
          <w:szCs w:val="24"/>
        </w:rPr>
      </w:pPr>
    </w:p>
    <w:p w:rsidR="00ED58CA" w:rsidRPr="00B32020" w:rsidRDefault="00ED58CA" w:rsidP="00B32020">
      <w:pPr>
        <w:rPr>
          <w:rFonts w:ascii="Arial" w:hAnsi="Arial" w:cs="Arial"/>
          <w:b/>
          <w:bCs/>
          <w:iCs/>
          <w:sz w:val="24"/>
          <w:szCs w:val="24"/>
        </w:rPr>
      </w:pPr>
      <w:r w:rsidRPr="00B32020">
        <w:rPr>
          <w:rFonts w:ascii="Arial" w:hAnsi="Arial" w:cs="Arial"/>
          <w:b/>
          <w:bCs/>
          <w:iCs/>
          <w:sz w:val="24"/>
          <w:szCs w:val="24"/>
        </w:rPr>
        <w:t>Hearing list arrangements</w:t>
      </w:r>
    </w:p>
    <w:p w:rsidR="00ED58CA" w:rsidRPr="00B32020" w:rsidRDefault="00ED58CA" w:rsidP="00B32020">
      <w:pPr>
        <w:pStyle w:val="Default"/>
        <w:numPr>
          <w:ilvl w:val="0"/>
          <w:numId w:val="15"/>
        </w:numPr>
        <w:spacing w:before="240"/>
        <w:ind w:left="426" w:hanging="426"/>
        <w:rPr>
          <w:rFonts w:ascii="Arial" w:hAnsi="Arial" w:cs="Arial"/>
          <w:b/>
          <w:bCs/>
          <w:iCs/>
        </w:rPr>
      </w:pPr>
      <w:r w:rsidRPr="00B32020">
        <w:rPr>
          <w:rFonts w:ascii="Arial" w:hAnsi="Arial" w:cs="Arial"/>
          <w:bCs/>
          <w:iCs/>
        </w:rPr>
        <w:t xml:space="preserve">The Court adopts a policy of overlisting hearing matters. Matters listed for less than one day may be overlisted for up to 14 sitting hours. Matters listed for one day may have two such matters </w:t>
      </w:r>
      <w:r w:rsidR="00A05EC6" w:rsidRPr="00B32020">
        <w:rPr>
          <w:rFonts w:ascii="Arial" w:hAnsi="Arial" w:cs="Arial"/>
          <w:bCs/>
          <w:iCs/>
        </w:rPr>
        <w:t xml:space="preserve">or up to </w:t>
      </w:r>
      <w:r w:rsidR="00874B49" w:rsidRPr="00B32020">
        <w:rPr>
          <w:rFonts w:ascii="Arial" w:hAnsi="Arial" w:cs="Arial"/>
          <w:bCs/>
          <w:iCs/>
        </w:rPr>
        <w:t xml:space="preserve">a further </w:t>
      </w:r>
      <w:r w:rsidR="00A05EC6" w:rsidRPr="00B32020">
        <w:rPr>
          <w:rFonts w:ascii="Arial" w:hAnsi="Arial" w:cs="Arial"/>
          <w:bCs/>
          <w:iCs/>
        </w:rPr>
        <w:t xml:space="preserve">6 hours of shorter matters </w:t>
      </w:r>
      <w:r w:rsidRPr="00B32020">
        <w:rPr>
          <w:rFonts w:ascii="Arial" w:hAnsi="Arial" w:cs="Arial"/>
          <w:bCs/>
          <w:iCs/>
        </w:rPr>
        <w:t xml:space="preserve">listed on the same day. Matters listed for in excess of one day will ordinarily be given a special fixture. Any matters not reached will be </w:t>
      </w:r>
      <w:r w:rsidR="00C12F70" w:rsidRPr="00B32020">
        <w:rPr>
          <w:rFonts w:ascii="Arial" w:hAnsi="Arial" w:cs="Arial"/>
          <w:bCs/>
          <w:iCs/>
        </w:rPr>
        <w:t xml:space="preserve">listed at the next available date and will be marked for consideration of </w:t>
      </w:r>
      <w:r w:rsidRPr="00B32020">
        <w:rPr>
          <w:rFonts w:ascii="Arial" w:hAnsi="Arial" w:cs="Arial"/>
          <w:bCs/>
          <w:iCs/>
        </w:rPr>
        <w:t xml:space="preserve">priority </w:t>
      </w:r>
      <w:r w:rsidR="00C12F70" w:rsidRPr="00B32020">
        <w:rPr>
          <w:rFonts w:ascii="Arial" w:hAnsi="Arial" w:cs="Arial"/>
          <w:bCs/>
          <w:iCs/>
        </w:rPr>
        <w:t>on that date</w:t>
      </w:r>
      <w:r w:rsidRPr="00B32020">
        <w:rPr>
          <w:rFonts w:ascii="Arial" w:hAnsi="Arial" w:cs="Arial"/>
          <w:bCs/>
          <w:iCs/>
        </w:rPr>
        <w:t>.</w:t>
      </w:r>
    </w:p>
    <w:p w:rsidR="00F47C1B" w:rsidRPr="00B32020" w:rsidRDefault="00ED58CA" w:rsidP="00B32020">
      <w:pPr>
        <w:pStyle w:val="Default"/>
        <w:spacing w:before="240"/>
        <w:rPr>
          <w:rFonts w:ascii="Arial" w:hAnsi="Arial" w:cs="Arial"/>
          <w:b/>
          <w:bCs/>
          <w:iCs/>
        </w:rPr>
      </w:pPr>
      <w:r w:rsidRPr="00B32020">
        <w:rPr>
          <w:rFonts w:ascii="Arial" w:hAnsi="Arial" w:cs="Arial"/>
          <w:b/>
          <w:bCs/>
          <w:iCs/>
        </w:rPr>
        <w:t>S</w:t>
      </w:r>
      <w:r w:rsidR="004D3D8E" w:rsidRPr="00B32020">
        <w:rPr>
          <w:rFonts w:ascii="Arial" w:hAnsi="Arial" w:cs="Arial"/>
          <w:b/>
          <w:bCs/>
          <w:iCs/>
        </w:rPr>
        <w:t>pecial arrangements</w:t>
      </w:r>
      <w:r w:rsidRPr="00B32020">
        <w:rPr>
          <w:rFonts w:ascii="Arial" w:hAnsi="Arial" w:cs="Arial"/>
          <w:b/>
          <w:bCs/>
          <w:iCs/>
        </w:rPr>
        <w:t xml:space="preserve"> for hearing</w:t>
      </w:r>
    </w:p>
    <w:p w:rsidR="004D3D8E" w:rsidRPr="00B32020" w:rsidRDefault="00AD4CC4" w:rsidP="00B32020">
      <w:pPr>
        <w:pStyle w:val="Default"/>
        <w:numPr>
          <w:ilvl w:val="0"/>
          <w:numId w:val="15"/>
        </w:numPr>
        <w:spacing w:before="240"/>
        <w:ind w:left="426" w:hanging="426"/>
        <w:rPr>
          <w:rFonts w:ascii="Arial" w:hAnsi="Arial" w:cs="Arial"/>
          <w:bCs/>
          <w:iCs/>
        </w:rPr>
      </w:pPr>
      <w:r w:rsidRPr="00B32020">
        <w:rPr>
          <w:rFonts w:ascii="Arial" w:hAnsi="Arial" w:cs="Arial"/>
          <w:bCs/>
          <w:iCs/>
        </w:rPr>
        <w:t xml:space="preserve">The parties must notify the </w:t>
      </w:r>
      <w:r w:rsidR="005D2869">
        <w:rPr>
          <w:rFonts w:ascii="Arial" w:hAnsi="Arial" w:cs="Arial"/>
          <w:bCs/>
          <w:iCs/>
        </w:rPr>
        <w:t>C</w:t>
      </w:r>
      <w:r w:rsidRPr="00B32020">
        <w:rPr>
          <w:rFonts w:ascii="Arial" w:hAnsi="Arial" w:cs="Arial"/>
          <w:bCs/>
          <w:iCs/>
        </w:rPr>
        <w:t>ourt of any special arrangements required at hearing at the time the matter is listed for hearing</w:t>
      </w:r>
      <w:r w:rsidR="0053168B" w:rsidRPr="00B32020">
        <w:rPr>
          <w:rFonts w:ascii="Arial" w:hAnsi="Arial" w:cs="Arial"/>
          <w:bCs/>
          <w:iCs/>
        </w:rPr>
        <w:t xml:space="preserve">, such as the need for remote witness rooms, arrangements for evidence to be taken by telephone, the requirement for an interpreter or any other matter arrangement for which the </w:t>
      </w:r>
      <w:r w:rsidR="005D2869">
        <w:rPr>
          <w:rFonts w:ascii="Arial" w:hAnsi="Arial" w:cs="Arial"/>
          <w:bCs/>
          <w:iCs/>
        </w:rPr>
        <w:t>C</w:t>
      </w:r>
      <w:r w:rsidR="0053168B" w:rsidRPr="00B32020">
        <w:rPr>
          <w:rFonts w:ascii="Arial" w:hAnsi="Arial" w:cs="Arial"/>
          <w:bCs/>
          <w:iCs/>
        </w:rPr>
        <w:t>ourt is not ordinarily equipped</w:t>
      </w:r>
      <w:r w:rsidRPr="00B32020">
        <w:rPr>
          <w:rFonts w:ascii="Arial" w:hAnsi="Arial" w:cs="Arial"/>
          <w:bCs/>
          <w:iCs/>
        </w:rPr>
        <w:t xml:space="preserve">. Failure </w:t>
      </w:r>
      <w:r w:rsidR="00A05EC6" w:rsidRPr="00B32020">
        <w:rPr>
          <w:rFonts w:ascii="Arial" w:hAnsi="Arial" w:cs="Arial"/>
          <w:bCs/>
          <w:iCs/>
        </w:rPr>
        <w:t xml:space="preserve">of the requesting party </w:t>
      </w:r>
      <w:r w:rsidR="005D2869">
        <w:rPr>
          <w:rFonts w:ascii="Arial" w:hAnsi="Arial" w:cs="Arial"/>
          <w:bCs/>
          <w:iCs/>
        </w:rPr>
        <w:t>to notify the C</w:t>
      </w:r>
      <w:r w:rsidRPr="00B32020">
        <w:rPr>
          <w:rFonts w:ascii="Arial" w:hAnsi="Arial" w:cs="Arial"/>
          <w:bCs/>
          <w:iCs/>
        </w:rPr>
        <w:t xml:space="preserve">ourt of any special arrangements which leads to an adjournment of the matter may result in a cost order </w:t>
      </w:r>
      <w:r w:rsidR="00A05EC6" w:rsidRPr="00B32020">
        <w:rPr>
          <w:rFonts w:ascii="Arial" w:hAnsi="Arial" w:cs="Arial"/>
          <w:bCs/>
          <w:iCs/>
        </w:rPr>
        <w:t>against that party or, in appropriate cases, the party’s legal representative</w:t>
      </w:r>
      <w:r w:rsidRPr="00B32020">
        <w:rPr>
          <w:rFonts w:ascii="Arial" w:hAnsi="Arial" w:cs="Arial"/>
          <w:bCs/>
          <w:iCs/>
        </w:rPr>
        <w:t>.</w:t>
      </w:r>
    </w:p>
    <w:p w:rsidR="004D3D8E" w:rsidRPr="00B32020" w:rsidRDefault="004D3D8E" w:rsidP="00B32020">
      <w:pPr>
        <w:pStyle w:val="Default"/>
        <w:spacing w:before="240"/>
        <w:ind w:left="426" w:hanging="426"/>
        <w:rPr>
          <w:rFonts w:ascii="Arial" w:hAnsi="Arial" w:cs="Arial"/>
          <w:b/>
          <w:bCs/>
          <w:iCs/>
        </w:rPr>
      </w:pPr>
      <w:r w:rsidRPr="00B32020">
        <w:rPr>
          <w:rFonts w:ascii="Arial" w:hAnsi="Arial" w:cs="Arial"/>
          <w:b/>
          <w:bCs/>
          <w:iCs/>
        </w:rPr>
        <w:t>Unrepresented defendants</w:t>
      </w:r>
    </w:p>
    <w:p w:rsidR="004D3D8E" w:rsidRPr="00B32020" w:rsidRDefault="00F02374" w:rsidP="00B32020">
      <w:pPr>
        <w:pStyle w:val="Default"/>
        <w:numPr>
          <w:ilvl w:val="0"/>
          <w:numId w:val="15"/>
        </w:numPr>
        <w:spacing w:before="240"/>
        <w:ind w:left="426" w:hanging="426"/>
        <w:rPr>
          <w:rFonts w:ascii="Arial" w:hAnsi="Arial" w:cs="Arial"/>
          <w:bCs/>
          <w:iCs/>
        </w:rPr>
      </w:pPr>
      <w:r w:rsidRPr="00B32020">
        <w:rPr>
          <w:rFonts w:ascii="Arial" w:hAnsi="Arial" w:cs="Arial"/>
          <w:bCs/>
          <w:iCs/>
        </w:rPr>
        <w:t xml:space="preserve">At the time the matter is being listed for hearing, the Court will ask if </w:t>
      </w:r>
      <w:r w:rsidR="004D3D8E" w:rsidRPr="00B32020">
        <w:rPr>
          <w:rFonts w:ascii="Arial" w:hAnsi="Arial" w:cs="Arial"/>
          <w:bCs/>
          <w:iCs/>
        </w:rPr>
        <w:t xml:space="preserve">an unrepresented defendant intends to cross-examine the complainant </w:t>
      </w:r>
      <w:r w:rsidRPr="00B32020">
        <w:rPr>
          <w:rFonts w:ascii="Arial" w:hAnsi="Arial" w:cs="Arial"/>
          <w:bCs/>
          <w:iCs/>
        </w:rPr>
        <w:t xml:space="preserve">in order to allow </w:t>
      </w:r>
      <w:r w:rsidR="004D3D8E" w:rsidRPr="00B32020">
        <w:rPr>
          <w:rFonts w:ascii="Arial" w:hAnsi="Arial" w:cs="Arial"/>
          <w:bCs/>
          <w:iCs/>
        </w:rPr>
        <w:t>for a registrar to be available to conduct the cross-examination.</w:t>
      </w:r>
    </w:p>
    <w:p w:rsidR="002B5DC1" w:rsidRPr="00B32020" w:rsidRDefault="002B5DC1" w:rsidP="002B5DC1">
      <w:pPr>
        <w:pStyle w:val="Default"/>
        <w:tabs>
          <w:tab w:val="left" w:pos="567"/>
          <w:tab w:val="left" w:pos="993"/>
        </w:tabs>
        <w:ind w:left="66"/>
        <w:rPr>
          <w:rFonts w:ascii="Arial" w:hAnsi="Arial" w:cs="Arial"/>
        </w:rPr>
      </w:pPr>
    </w:p>
    <w:p w:rsidR="00F47C1B" w:rsidRPr="00B32020" w:rsidRDefault="00F47C1B" w:rsidP="00A06ADF">
      <w:pPr>
        <w:rPr>
          <w:rFonts w:ascii="Arial" w:hAnsi="Arial" w:cs="Arial"/>
          <w:sz w:val="24"/>
          <w:szCs w:val="24"/>
        </w:rPr>
      </w:pPr>
    </w:p>
    <w:p w:rsidR="00D13242" w:rsidRPr="00B32020" w:rsidRDefault="00D13242" w:rsidP="00A06ADF">
      <w:pPr>
        <w:rPr>
          <w:rFonts w:ascii="Arial" w:hAnsi="Arial" w:cs="Arial"/>
          <w:sz w:val="24"/>
          <w:szCs w:val="24"/>
        </w:rPr>
      </w:pPr>
      <w:r w:rsidRPr="00B32020">
        <w:rPr>
          <w:rFonts w:ascii="Arial" w:hAnsi="Arial" w:cs="Arial"/>
          <w:sz w:val="24"/>
          <w:szCs w:val="24"/>
        </w:rPr>
        <w:t xml:space="preserve">By direction of the Chief Magistrate and Magistrates </w:t>
      </w:r>
    </w:p>
    <w:p w:rsidR="00D13242" w:rsidRPr="00B32020" w:rsidRDefault="00D13242" w:rsidP="00A06ADF">
      <w:pPr>
        <w:rPr>
          <w:rFonts w:ascii="Arial" w:hAnsi="Arial" w:cs="Arial"/>
          <w:sz w:val="24"/>
          <w:szCs w:val="24"/>
        </w:rPr>
      </w:pPr>
    </w:p>
    <w:p w:rsidR="00D13242" w:rsidRPr="00B32020" w:rsidRDefault="00D13242" w:rsidP="00A06ADF">
      <w:pPr>
        <w:rPr>
          <w:rFonts w:ascii="Arial" w:hAnsi="Arial" w:cs="Arial"/>
          <w:sz w:val="24"/>
          <w:szCs w:val="24"/>
        </w:rPr>
      </w:pPr>
    </w:p>
    <w:p w:rsidR="00D13242" w:rsidRPr="00B32020" w:rsidRDefault="00D13242" w:rsidP="00051678">
      <w:pPr>
        <w:rPr>
          <w:rFonts w:ascii="Arial" w:hAnsi="Arial" w:cs="Arial"/>
          <w:sz w:val="24"/>
          <w:szCs w:val="24"/>
        </w:rPr>
      </w:pPr>
    </w:p>
    <w:p w:rsidR="002B4491" w:rsidRDefault="00051678" w:rsidP="00051678">
      <w:pPr>
        <w:rPr>
          <w:rFonts w:ascii="Arial" w:hAnsi="Arial" w:cs="Arial"/>
          <w:sz w:val="24"/>
          <w:szCs w:val="24"/>
        </w:rPr>
      </w:pPr>
      <w:r>
        <w:rPr>
          <w:rFonts w:ascii="Arial" w:hAnsi="Arial" w:cs="Arial"/>
          <w:sz w:val="24"/>
          <w:szCs w:val="24"/>
        </w:rPr>
        <w:t>Amanda Nuttall</w:t>
      </w:r>
    </w:p>
    <w:p w:rsidR="00051678" w:rsidRDefault="00051678" w:rsidP="00051678">
      <w:pPr>
        <w:rPr>
          <w:rFonts w:ascii="Arial" w:hAnsi="Arial" w:cs="Arial"/>
          <w:sz w:val="24"/>
          <w:szCs w:val="24"/>
        </w:rPr>
      </w:pPr>
      <w:r>
        <w:rPr>
          <w:rFonts w:ascii="Arial" w:hAnsi="Arial" w:cs="Arial"/>
          <w:sz w:val="24"/>
          <w:szCs w:val="24"/>
        </w:rPr>
        <w:t>Registrar</w:t>
      </w:r>
    </w:p>
    <w:p w:rsidR="00051678" w:rsidRPr="00B32020" w:rsidRDefault="00051678" w:rsidP="00051678">
      <w:pPr>
        <w:rPr>
          <w:rFonts w:ascii="Arial" w:hAnsi="Arial" w:cs="Arial"/>
          <w:sz w:val="24"/>
          <w:szCs w:val="24"/>
        </w:rPr>
      </w:pPr>
      <w:r w:rsidRPr="00B32020">
        <w:rPr>
          <w:rFonts w:ascii="Arial" w:hAnsi="Arial" w:cs="Arial"/>
          <w:sz w:val="24"/>
          <w:szCs w:val="24"/>
        </w:rPr>
        <w:t>1</w:t>
      </w:r>
      <w:r>
        <w:rPr>
          <w:rFonts w:ascii="Arial" w:hAnsi="Arial" w:cs="Arial"/>
          <w:sz w:val="24"/>
          <w:szCs w:val="24"/>
        </w:rPr>
        <w:t>5</w:t>
      </w:r>
      <w:r w:rsidRPr="00B32020">
        <w:rPr>
          <w:rFonts w:ascii="Arial" w:hAnsi="Arial" w:cs="Arial"/>
          <w:sz w:val="24"/>
          <w:szCs w:val="24"/>
        </w:rPr>
        <w:t xml:space="preserve"> December 2017</w:t>
      </w:r>
    </w:p>
    <w:p w:rsidR="00051678" w:rsidRPr="00874B49" w:rsidRDefault="00051678" w:rsidP="00051678">
      <w:pPr>
        <w:rPr>
          <w:sz w:val="24"/>
          <w:szCs w:val="24"/>
        </w:rPr>
      </w:pPr>
    </w:p>
    <w:p w:rsidR="00D13242" w:rsidRPr="00874B49" w:rsidRDefault="002B4491" w:rsidP="00051678">
      <w:pPr>
        <w:spacing w:after="200"/>
        <w:rPr>
          <w:sz w:val="24"/>
          <w:szCs w:val="24"/>
        </w:rPr>
      </w:pPr>
      <w:r w:rsidRPr="00A06ADF">
        <w:rPr>
          <w:sz w:val="24"/>
          <w:szCs w:val="24"/>
        </w:rPr>
        <w:t xml:space="preserve">                                                  </w:t>
      </w:r>
    </w:p>
    <w:sectPr w:rsidR="00D13242" w:rsidRPr="00874B49" w:rsidSect="004E577F">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1D4" w:rsidRDefault="00DF31D4">
      <w:r>
        <w:separator/>
      </w:r>
    </w:p>
  </w:endnote>
  <w:endnote w:type="continuationSeparator" w:id="0">
    <w:p w:rsidR="00DF31D4" w:rsidRDefault="00DF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AD4" w:rsidRDefault="00AE6369" w:rsidP="005270CB">
    <w:pPr>
      <w:pStyle w:val="Footer"/>
      <w:framePr w:wrap="around" w:vAnchor="text" w:hAnchor="margin" w:xAlign="center" w:y="1"/>
      <w:rPr>
        <w:rStyle w:val="PageNumber"/>
      </w:rPr>
    </w:pPr>
    <w:r>
      <w:rPr>
        <w:rStyle w:val="PageNumber"/>
      </w:rPr>
      <w:fldChar w:fldCharType="begin"/>
    </w:r>
    <w:r w:rsidR="00493AD4">
      <w:rPr>
        <w:rStyle w:val="PageNumber"/>
      </w:rPr>
      <w:instrText xml:space="preserve">PAGE  </w:instrText>
    </w:r>
    <w:r>
      <w:rPr>
        <w:rStyle w:val="PageNumber"/>
      </w:rPr>
      <w:fldChar w:fldCharType="end"/>
    </w:r>
  </w:p>
  <w:p w:rsidR="00493AD4" w:rsidRDefault="00493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AD4" w:rsidRDefault="00AE6369" w:rsidP="005270CB">
    <w:pPr>
      <w:pStyle w:val="Footer"/>
      <w:framePr w:wrap="around" w:vAnchor="text" w:hAnchor="margin" w:xAlign="center" w:y="1"/>
      <w:rPr>
        <w:rStyle w:val="PageNumber"/>
      </w:rPr>
    </w:pPr>
    <w:r>
      <w:rPr>
        <w:rStyle w:val="PageNumber"/>
      </w:rPr>
      <w:fldChar w:fldCharType="begin"/>
    </w:r>
    <w:r w:rsidR="00493AD4">
      <w:rPr>
        <w:rStyle w:val="PageNumber"/>
      </w:rPr>
      <w:instrText xml:space="preserve">PAGE  </w:instrText>
    </w:r>
    <w:r>
      <w:rPr>
        <w:rStyle w:val="PageNumber"/>
      </w:rPr>
      <w:fldChar w:fldCharType="separate"/>
    </w:r>
    <w:r w:rsidR="00ED16A2">
      <w:rPr>
        <w:rStyle w:val="PageNumber"/>
        <w:noProof/>
      </w:rPr>
      <w:t>1</w:t>
    </w:r>
    <w:r>
      <w:rPr>
        <w:rStyle w:val="PageNumber"/>
      </w:rPr>
      <w:fldChar w:fldCharType="end"/>
    </w:r>
  </w:p>
  <w:p w:rsidR="00493AD4" w:rsidRDefault="00493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1D4" w:rsidRDefault="00DF31D4">
      <w:r>
        <w:separator/>
      </w:r>
    </w:p>
  </w:footnote>
  <w:footnote w:type="continuationSeparator" w:id="0">
    <w:p w:rsidR="00DF31D4" w:rsidRDefault="00DF3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46171"/>
    <w:multiLevelType w:val="hybridMultilevel"/>
    <w:tmpl w:val="F52E7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58492A"/>
    <w:multiLevelType w:val="multilevel"/>
    <w:tmpl w:val="8C1EE398"/>
    <w:lvl w:ilvl="0">
      <w:start w:val="1"/>
      <w:numFmt w:val="decimal"/>
      <w:lvlText w:val="%1."/>
      <w:lvlJc w:val="left"/>
      <w:pPr>
        <w:tabs>
          <w:tab w:val="num" w:pos="502"/>
        </w:tabs>
        <w:ind w:left="502" w:hanging="360"/>
      </w:pPr>
      <w:rPr>
        <w:rFonts w:cs="Times New Roman"/>
        <w:b/>
      </w:rPr>
    </w:lvl>
    <w:lvl w:ilvl="1">
      <w:start w:val="1"/>
      <w:numFmt w:val="decimal"/>
      <w:isLgl/>
      <w:lvlText w:val="%1.%2"/>
      <w:lvlJc w:val="left"/>
      <w:pPr>
        <w:tabs>
          <w:tab w:val="num" w:pos="644"/>
        </w:tabs>
        <w:ind w:left="644" w:hanging="360"/>
      </w:pPr>
      <w:rPr>
        <w:rFonts w:cs="Times New Roman" w:hint="default"/>
        <w:b/>
        <w:i/>
      </w:rPr>
    </w:lvl>
    <w:lvl w:ilvl="2">
      <w:start w:val="1"/>
      <w:numFmt w:val="decimal"/>
      <w:isLgl/>
      <w:lvlText w:val="%1.%2.%3"/>
      <w:lvlJc w:val="left"/>
      <w:pPr>
        <w:tabs>
          <w:tab w:val="num" w:pos="1080"/>
        </w:tabs>
        <w:ind w:left="1080" w:hanging="720"/>
      </w:pPr>
      <w:rPr>
        <w:rFonts w:cs="Times New Roman" w:hint="default"/>
        <w:b/>
        <w:i/>
      </w:rPr>
    </w:lvl>
    <w:lvl w:ilvl="3">
      <w:start w:val="1"/>
      <w:numFmt w:val="decimal"/>
      <w:isLgl/>
      <w:lvlText w:val="%1.%2.%3.%4"/>
      <w:lvlJc w:val="left"/>
      <w:pPr>
        <w:tabs>
          <w:tab w:val="num" w:pos="1080"/>
        </w:tabs>
        <w:ind w:left="1080" w:hanging="720"/>
      </w:pPr>
      <w:rPr>
        <w:rFonts w:cs="Times New Roman" w:hint="default"/>
        <w:b/>
        <w:i/>
      </w:rPr>
    </w:lvl>
    <w:lvl w:ilvl="4">
      <w:start w:val="1"/>
      <w:numFmt w:val="decimal"/>
      <w:isLgl/>
      <w:lvlText w:val="%1.%2.%3.%4.%5"/>
      <w:lvlJc w:val="left"/>
      <w:pPr>
        <w:tabs>
          <w:tab w:val="num" w:pos="1440"/>
        </w:tabs>
        <w:ind w:left="1440" w:hanging="1080"/>
      </w:pPr>
      <w:rPr>
        <w:rFonts w:cs="Times New Roman" w:hint="default"/>
        <w:b/>
        <w:i/>
      </w:rPr>
    </w:lvl>
    <w:lvl w:ilvl="5">
      <w:start w:val="1"/>
      <w:numFmt w:val="decimal"/>
      <w:isLgl/>
      <w:lvlText w:val="%1.%2.%3.%4.%5.%6"/>
      <w:lvlJc w:val="left"/>
      <w:pPr>
        <w:tabs>
          <w:tab w:val="num" w:pos="1440"/>
        </w:tabs>
        <w:ind w:left="1440" w:hanging="1080"/>
      </w:pPr>
      <w:rPr>
        <w:rFonts w:cs="Times New Roman" w:hint="default"/>
        <w:b/>
        <w:i/>
      </w:rPr>
    </w:lvl>
    <w:lvl w:ilvl="6">
      <w:start w:val="1"/>
      <w:numFmt w:val="decimal"/>
      <w:isLgl/>
      <w:lvlText w:val="%1.%2.%3.%4.%5.%6.%7"/>
      <w:lvlJc w:val="left"/>
      <w:pPr>
        <w:tabs>
          <w:tab w:val="num" w:pos="1800"/>
        </w:tabs>
        <w:ind w:left="1800" w:hanging="1440"/>
      </w:pPr>
      <w:rPr>
        <w:rFonts w:cs="Times New Roman" w:hint="default"/>
        <w:b/>
        <w:i/>
      </w:rPr>
    </w:lvl>
    <w:lvl w:ilvl="7">
      <w:start w:val="1"/>
      <w:numFmt w:val="decimal"/>
      <w:isLgl/>
      <w:lvlText w:val="%1.%2.%3.%4.%5.%6.%7.%8"/>
      <w:lvlJc w:val="left"/>
      <w:pPr>
        <w:tabs>
          <w:tab w:val="num" w:pos="1800"/>
        </w:tabs>
        <w:ind w:left="1800" w:hanging="1440"/>
      </w:pPr>
      <w:rPr>
        <w:rFonts w:cs="Times New Roman" w:hint="default"/>
        <w:b/>
        <w:i/>
      </w:rPr>
    </w:lvl>
    <w:lvl w:ilvl="8">
      <w:start w:val="1"/>
      <w:numFmt w:val="decimal"/>
      <w:isLgl/>
      <w:lvlText w:val="%1.%2.%3.%4.%5.%6.%7.%8.%9"/>
      <w:lvlJc w:val="left"/>
      <w:pPr>
        <w:tabs>
          <w:tab w:val="num" w:pos="2160"/>
        </w:tabs>
        <w:ind w:left="2160" w:hanging="1800"/>
      </w:pPr>
      <w:rPr>
        <w:rFonts w:cs="Times New Roman" w:hint="default"/>
        <w:b/>
        <w:i/>
      </w:rPr>
    </w:lvl>
  </w:abstractNum>
  <w:abstractNum w:abstractNumId="2" w15:restartNumberingAfterBreak="0">
    <w:nsid w:val="251D7C53"/>
    <w:multiLevelType w:val="hybridMultilevel"/>
    <w:tmpl w:val="8CC010C6"/>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2BEB1061"/>
    <w:multiLevelType w:val="hybridMultilevel"/>
    <w:tmpl w:val="13F60D92"/>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E996BA2"/>
    <w:multiLevelType w:val="hybridMultilevel"/>
    <w:tmpl w:val="ED50A0C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14148A1"/>
    <w:multiLevelType w:val="multilevel"/>
    <w:tmpl w:val="F56AA490"/>
    <w:lvl w:ilvl="0">
      <w:start w:val="5"/>
      <w:numFmt w:val="decimal"/>
      <w:lvlText w:val="%1"/>
      <w:lvlJc w:val="left"/>
      <w:pPr>
        <w:tabs>
          <w:tab w:val="num" w:pos="420"/>
        </w:tabs>
        <w:ind w:left="420" w:hanging="420"/>
      </w:pPr>
      <w:rPr>
        <w:rFonts w:cs="Times New Roman" w:hint="default"/>
        <w:b/>
        <w:i/>
      </w:rPr>
    </w:lvl>
    <w:lvl w:ilvl="1">
      <w:start w:val="4"/>
      <w:numFmt w:val="decimal"/>
      <w:lvlText w:val="%1.%2"/>
      <w:lvlJc w:val="left"/>
      <w:pPr>
        <w:tabs>
          <w:tab w:val="num" w:pos="1140"/>
        </w:tabs>
        <w:ind w:left="1140" w:hanging="420"/>
      </w:pPr>
      <w:rPr>
        <w:rFonts w:cs="Times New Roman" w:hint="default"/>
        <w:b/>
        <w:i/>
      </w:rPr>
    </w:lvl>
    <w:lvl w:ilvl="2">
      <w:start w:val="1"/>
      <w:numFmt w:val="decimal"/>
      <w:lvlText w:val="%1.%2.%3"/>
      <w:lvlJc w:val="left"/>
      <w:pPr>
        <w:tabs>
          <w:tab w:val="num" w:pos="2160"/>
        </w:tabs>
        <w:ind w:left="2160" w:hanging="720"/>
      </w:pPr>
      <w:rPr>
        <w:rFonts w:cs="Times New Roman" w:hint="default"/>
        <w:b/>
        <w:i/>
      </w:rPr>
    </w:lvl>
    <w:lvl w:ilvl="3">
      <w:start w:val="1"/>
      <w:numFmt w:val="decimal"/>
      <w:lvlText w:val="%1.%2.%3.%4"/>
      <w:lvlJc w:val="left"/>
      <w:pPr>
        <w:tabs>
          <w:tab w:val="num" w:pos="2880"/>
        </w:tabs>
        <w:ind w:left="2880" w:hanging="720"/>
      </w:pPr>
      <w:rPr>
        <w:rFonts w:cs="Times New Roman" w:hint="default"/>
        <w:b/>
        <w:i/>
      </w:rPr>
    </w:lvl>
    <w:lvl w:ilvl="4">
      <w:start w:val="1"/>
      <w:numFmt w:val="decimal"/>
      <w:lvlText w:val="%1.%2.%3.%4.%5"/>
      <w:lvlJc w:val="left"/>
      <w:pPr>
        <w:tabs>
          <w:tab w:val="num" w:pos="3960"/>
        </w:tabs>
        <w:ind w:left="3960" w:hanging="1080"/>
      </w:pPr>
      <w:rPr>
        <w:rFonts w:cs="Times New Roman" w:hint="default"/>
        <w:b/>
        <w:i/>
      </w:rPr>
    </w:lvl>
    <w:lvl w:ilvl="5">
      <w:start w:val="1"/>
      <w:numFmt w:val="decimal"/>
      <w:lvlText w:val="%1.%2.%3.%4.%5.%6"/>
      <w:lvlJc w:val="left"/>
      <w:pPr>
        <w:tabs>
          <w:tab w:val="num" w:pos="4680"/>
        </w:tabs>
        <w:ind w:left="4680" w:hanging="1080"/>
      </w:pPr>
      <w:rPr>
        <w:rFonts w:cs="Times New Roman" w:hint="default"/>
        <w:b/>
        <w:i/>
      </w:rPr>
    </w:lvl>
    <w:lvl w:ilvl="6">
      <w:start w:val="1"/>
      <w:numFmt w:val="decimal"/>
      <w:lvlText w:val="%1.%2.%3.%4.%5.%6.%7"/>
      <w:lvlJc w:val="left"/>
      <w:pPr>
        <w:tabs>
          <w:tab w:val="num" w:pos="5760"/>
        </w:tabs>
        <w:ind w:left="5760" w:hanging="1440"/>
      </w:pPr>
      <w:rPr>
        <w:rFonts w:cs="Times New Roman" w:hint="default"/>
        <w:b/>
        <w:i/>
      </w:rPr>
    </w:lvl>
    <w:lvl w:ilvl="7">
      <w:start w:val="1"/>
      <w:numFmt w:val="decimal"/>
      <w:lvlText w:val="%1.%2.%3.%4.%5.%6.%7.%8"/>
      <w:lvlJc w:val="left"/>
      <w:pPr>
        <w:tabs>
          <w:tab w:val="num" w:pos="6480"/>
        </w:tabs>
        <w:ind w:left="6480" w:hanging="1440"/>
      </w:pPr>
      <w:rPr>
        <w:rFonts w:cs="Times New Roman" w:hint="default"/>
        <w:b/>
        <w:i/>
      </w:rPr>
    </w:lvl>
    <w:lvl w:ilvl="8">
      <w:start w:val="1"/>
      <w:numFmt w:val="decimal"/>
      <w:lvlText w:val="%1.%2.%3.%4.%5.%6.%7.%8.%9"/>
      <w:lvlJc w:val="left"/>
      <w:pPr>
        <w:tabs>
          <w:tab w:val="num" w:pos="7560"/>
        </w:tabs>
        <w:ind w:left="7560" w:hanging="1800"/>
      </w:pPr>
      <w:rPr>
        <w:rFonts w:cs="Times New Roman" w:hint="default"/>
        <w:b/>
        <w:i/>
      </w:rPr>
    </w:lvl>
  </w:abstractNum>
  <w:abstractNum w:abstractNumId="6" w15:restartNumberingAfterBreak="0">
    <w:nsid w:val="39825F7F"/>
    <w:multiLevelType w:val="hybridMultilevel"/>
    <w:tmpl w:val="89FE72EE"/>
    <w:lvl w:ilvl="0" w:tplc="0C090001">
      <w:start w:val="1"/>
      <w:numFmt w:val="bullet"/>
      <w:lvlText w:val=""/>
      <w:lvlJc w:val="left"/>
      <w:pPr>
        <w:tabs>
          <w:tab w:val="num" w:pos="1860"/>
        </w:tabs>
        <w:ind w:left="1860" w:hanging="360"/>
      </w:pPr>
      <w:rPr>
        <w:rFonts w:ascii="Symbol" w:hAnsi="Symbol" w:hint="default"/>
      </w:rPr>
    </w:lvl>
    <w:lvl w:ilvl="1" w:tplc="0C090003" w:tentative="1">
      <w:start w:val="1"/>
      <w:numFmt w:val="bullet"/>
      <w:lvlText w:val="o"/>
      <w:lvlJc w:val="left"/>
      <w:pPr>
        <w:tabs>
          <w:tab w:val="num" w:pos="2580"/>
        </w:tabs>
        <w:ind w:left="2580" w:hanging="360"/>
      </w:pPr>
      <w:rPr>
        <w:rFonts w:ascii="Courier New" w:hAnsi="Courier New" w:hint="default"/>
      </w:rPr>
    </w:lvl>
    <w:lvl w:ilvl="2" w:tplc="0C090005" w:tentative="1">
      <w:start w:val="1"/>
      <w:numFmt w:val="bullet"/>
      <w:lvlText w:val=""/>
      <w:lvlJc w:val="left"/>
      <w:pPr>
        <w:tabs>
          <w:tab w:val="num" w:pos="3300"/>
        </w:tabs>
        <w:ind w:left="3300" w:hanging="360"/>
      </w:pPr>
      <w:rPr>
        <w:rFonts w:ascii="Wingdings" w:hAnsi="Wingdings" w:hint="default"/>
      </w:rPr>
    </w:lvl>
    <w:lvl w:ilvl="3" w:tplc="0C090001" w:tentative="1">
      <w:start w:val="1"/>
      <w:numFmt w:val="bullet"/>
      <w:lvlText w:val=""/>
      <w:lvlJc w:val="left"/>
      <w:pPr>
        <w:tabs>
          <w:tab w:val="num" w:pos="4020"/>
        </w:tabs>
        <w:ind w:left="4020" w:hanging="360"/>
      </w:pPr>
      <w:rPr>
        <w:rFonts w:ascii="Symbol" w:hAnsi="Symbol" w:hint="default"/>
      </w:rPr>
    </w:lvl>
    <w:lvl w:ilvl="4" w:tplc="0C090003" w:tentative="1">
      <w:start w:val="1"/>
      <w:numFmt w:val="bullet"/>
      <w:lvlText w:val="o"/>
      <w:lvlJc w:val="left"/>
      <w:pPr>
        <w:tabs>
          <w:tab w:val="num" w:pos="4740"/>
        </w:tabs>
        <w:ind w:left="4740" w:hanging="360"/>
      </w:pPr>
      <w:rPr>
        <w:rFonts w:ascii="Courier New" w:hAnsi="Courier New" w:hint="default"/>
      </w:rPr>
    </w:lvl>
    <w:lvl w:ilvl="5" w:tplc="0C090005" w:tentative="1">
      <w:start w:val="1"/>
      <w:numFmt w:val="bullet"/>
      <w:lvlText w:val=""/>
      <w:lvlJc w:val="left"/>
      <w:pPr>
        <w:tabs>
          <w:tab w:val="num" w:pos="5460"/>
        </w:tabs>
        <w:ind w:left="5460" w:hanging="360"/>
      </w:pPr>
      <w:rPr>
        <w:rFonts w:ascii="Wingdings" w:hAnsi="Wingdings" w:hint="default"/>
      </w:rPr>
    </w:lvl>
    <w:lvl w:ilvl="6" w:tplc="0C090001" w:tentative="1">
      <w:start w:val="1"/>
      <w:numFmt w:val="bullet"/>
      <w:lvlText w:val=""/>
      <w:lvlJc w:val="left"/>
      <w:pPr>
        <w:tabs>
          <w:tab w:val="num" w:pos="6180"/>
        </w:tabs>
        <w:ind w:left="6180" w:hanging="360"/>
      </w:pPr>
      <w:rPr>
        <w:rFonts w:ascii="Symbol" w:hAnsi="Symbol" w:hint="default"/>
      </w:rPr>
    </w:lvl>
    <w:lvl w:ilvl="7" w:tplc="0C090003" w:tentative="1">
      <w:start w:val="1"/>
      <w:numFmt w:val="bullet"/>
      <w:lvlText w:val="o"/>
      <w:lvlJc w:val="left"/>
      <w:pPr>
        <w:tabs>
          <w:tab w:val="num" w:pos="6900"/>
        </w:tabs>
        <w:ind w:left="6900" w:hanging="360"/>
      </w:pPr>
      <w:rPr>
        <w:rFonts w:ascii="Courier New" w:hAnsi="Courier New" w:hint="default"/>
      </w:rPr>
    </w:lvl>
    <w:lvl w:ilvl="8" w:tplc="0C090005" w:tentative="1">
      <w:start w:val="1"/>
      <w:numFmt w:val="bullet"/>
      <w:lvlText w:val=""/>
      <w:lvlJc w:val="left"/>
      <w:pPr>
        <w:tabs>
          <w:tab w:val="num" w:pos="7620"/>
        </w:tabs>
        <w:ind w:left="7620" w:hanging="360"/>
      </w:pPr>
      <w:rPr>
        <w:rFonts w:ascii="Wingdings" w:hAnsi="Wingdings" w:hint="default"/>
      </w:rPr>
    </w:lvl>
  </w:abstractNum>
  <w:abstractNum w:abstractNumId="7" w15:restartNumberingAfterBreak="0">
    <w:nsid w:val="3C9E30AD"/>
    <w:multiLevelType w:val="hybridMultilevel"/>
    <w:tmpl w:val="2D9621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4676FAB"/>
    <w:multiLevelType w:val="hybridMultilevel"/>
    <w:tmpl w:val="76425C20"/>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404687B"/>
    <w:multiLevelType w:val="hybridMultilevel"/>
    <w:tmpl w:val="0082DF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1F23ACE"/>
    <w:multiLevelType w:val="hybridMultilevel"/>
    <w:tmpl w:val="2D208B7A"/>
    <w:lvl w:ilvl="0" w:tplc="2EC47E7A">
      <w:start w:val="1"/>
      <w:numFmt w:val="decimal"/>
      <w:lvlText w:val="%1."/>
      <w:lvlJc w:val="left"/>
      <w:pPr>
        <w:ind w:left="2160" w:hanging="360"/>
      </w:pPr>
      <w:rPr>
        <w:rFonts w:hint="default"/>
        <w:b w:val="0"/>
        <w:kern w:val="16"/>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671B3E90"/>
    <w:multiLevelType w:val="hybridMultilevel"/>
    <w:tmpl w:val="9E66348E"/>
    <w:lvl w:ilvl="0" w:tplc="0C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tabs>
          <w:tab w:val="num" w:pos="1789"/>
        </w:tabs>
        <w:ind w:left="1789" w:hanging="360"/>
      </w:pPr>
      <w:rPr>
        <w:rFonts w:ascii="Courier New" w:hAnsi="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6C717B94"/>
    <w:multiLevelType w:val="multilevel"/>
    <w:tmpl w:val="2AB6148C"/>
    <w:lvl w:ilvl="0">
      <w:start w:val="1"/>
      <w:numFmt w:val="decimal"/>
      <w:lvlText w:val="%1"/>
      <w:lvlJc w:val="left"/>
      <w:pPr>
        <w:tabs>
          <w:tab w:val="num" w:pos="644"/>
        </w:tabs>
        <w:ind w:left="644" w:hanging="360"/>
      </w:pPr>
      <w:rPr>
        <w:rFonts w:cs="Times New Roman" w:hint="default"/>
        <w:b/>
        <w:i/>
      </w:rPr>
    </w:lvl>
    <w:lvl w:ilvl="1">
      <w:start w:val="1"/>
      <w:numFmt w:val="lowerLetter"/>
      <w:lvlText w:val="%2)"/>
      <w:lvlJc w:val="left"/>
      <w:pPr>
        <w:tabs>
          <w:tab w:val="num" w:pos="644"/>
        </w:tabs>
        <w:ind w:left="644" w:hanging="360"/>
      </w:pPr>
      <w:rPr>
        <w:rFonts w:hint="default"/>
        <w:b/>
        <w:i/>
      </w:rPr>
    </w:lvl>
    <w:lvl w:ilvl="2">
      <w:start w:val="1"/>
      <w:numFmt w:val="decimal"/>
      <w:lvlText w:val="%1.%2.%3"/>
      <w:lvlJc w:val="left"/>
      <w:pPr>
        <w:tabs>
          <w:tab w:val="num" w:pos="2444"/>
        </w:tabs>
        <w:ind w:left="2444" w:hanging="720"/>
      </w:pPr>
      <w:rPr>
        <w:rFonts w:cs="Times New Roman" w:hint="default"/>
        <w:b/>
        <w:i/>
      </w:rPr>
    </w:lvl>
    <w:lvl w:ilvl="3">
      <w:start w:val="1"/>
      <w:numFmt w:val="decimal"/>
      <w:lvlText w:val="%1.%2.%3.%4"/>
      <w:lvlJc w:val="left"/>
      <w:pPr>
        <w:tabs>
          <w:tab w:val="num" w:pos="3164"/>
        </w:tabs>
        <w:ind w:left="3164" w:hanging="720"/>
      </w:pPr>
      <w:rPr>
        <w:rFonts w:cs="Times New Roman" w:hint="default"/>
        <w:b/>
        <w:i/>
      </w:rPr>
    </w:lvl>
    <w:lvl w:ilvl="4">
      <w:start w:val="1"/>
      <w:numFmt w:val="decimal"/>
      <w:lvlText w:val="%1.%2.%3.%4.%5"/>
      <w:lvlJc w:val="left"/>
      <w:pPr>
        <w:tabs>
          <w:tab w:val="num" w:pos="4244"/>
        </w:tabs>
        <w:ind w:left="4244" w:hanging="1080"/>
      </w:pPr>
      <w:rPr>
        <w:rFonts w:cs="Times New Roman" w:hint="default"/>
        <w:b/>
        <w:i/>
      </w:rPr>
    </w:lvl>
    <w:lvl w:ilvl="5">
      <w:start w:val="1"/>
      <w:numFmt w:val="decimal"/>
      <w:lvlText w:val="%1.%2.%3.%4.%5.%6"/>
      <w:lvlJc w:val="left"/>
      <w:pPr>
        <w:tabs>
          <w:tab w:val="num" w:pos="4964"/>
        </w:tabs>
        <w:ind w:left="4964" w:hanging="1080"/>
      </w:pPr>
      <w:rPr>
        <w:rFonts w:cs="Times New Roman" w:hint="default"/>
        <w:b/>
        <w:i/>
      </w:rPr>
    </w:lvl>
    <w:lvl w:ilvl="6">
      <w:start w:val="1"/>
      <w:numFmt w:val="decimal"/>
      <w:lvlText w:val="%1.%2.%3.%4.%5.%6.%7"/>
      <w:lvlJc w:val="left"/>
      <w:pPr>
        <w:tabs>
          <w:tab w:val="num" w:pos="6044"/>
        </w:tabs>
        <w:ind w:left="6044" w:hanging="1440"/>
      </w:pPr>
      <w:rPr>
        <w:rFonts w:cs="Times New Roman" w:hint="default"/>
        <w:b/>
        <w:i/>
      </w:rPr>
    </w:lvl>
    <w:lvl w:ilvl="7">
      <w:start w:val="1"/>
      <w:numFmt w:val="decimal"/>
      <w:lvlText w:val="%1.%2.%3.%4.%5.%6.%7.%8"/>
      <w:lvlJc w:val="left"/>
      <w:pPr>
        <w:tabs>
          <w:tab w:val="num" w:pos="6764"/>
        </w:tabs>
        <w:ind w:left="6764" w:hanging="1440"/>
      </w:pPr>
      <w:rPr>
        <w:rFonts w:cs="Times New Roman" w:hint="default"/>
        <w:b/>
        <w:i/>
      </w:rPr>
    </w:lvl>
    <w:lvl w:ilvl="8">
      <w:start w:val="1"/>
      <w:numFmt w:val="decimal"/>
      <w:lvlText w:val="%1.%2.%3.%4.%5.%6.%7.%8.%9"/>
      <w:lvlJc w:val="left"/>
      <w:pPr>
        <w:tabs>
          <w:tab w:val="num" w:pos="7844"/>
        </w:tabs>
        <w:ind w:left="7844" w:hanging="1800"/>
      </w:pPr>
      <w:rPr>
        <w:rFonts w:cs="Times New Roman" w:hint="default"/>
        <w:b/>
        <w:i/>
      </w:rPr>
    </w:lvl>
  </w:abstractNum>
  <w:abstractNum w:abstractNumId="13" w15:restartNumberingAfterBreak="0">
    <w:nsid w:val="6D7A3178"/>
    <w:multiLevelType w:val="hybridMultilevel"/>
    <w:tmpl w:val="27AC6066"/>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1150592"/>
    <w:multiLevelType w:val="hybridMultilevel"/>
    <w:tmpl w:val="95544550"/>
    <w:lvl w:ilvl="0" w:tplc="E6E22E9C">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734A413E"/>
    <w:multiLevelType w:val="hybridMultilevel"/>
    <w:tmpl w:val="9E3E1A70"/>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hint="default"/>
      </w:rPr>
    </w:lvl>
    <w:lvl w:ilvl="2" w:tplc="0C090005">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12"/>
  </w:num>
  <w:num w:numId="3">
    <w:abstractNumId w:val="0"/>
  </w:num>
  <w:num w:numId="4">
    <w:abstractNumId w:val="13"/>
  </w:num>
  <w:num w:numId="5">
    <w:abstractNumId w:val="3"/>
  </w:num>
  <w:num w:numId="6">
    <w:abstractNumId w:val="5"/>
  </w:num>
  <w:num w:numId="7">
    <w:abstractNumId w:val="15"/>
  </w:num>
  <w:num w:numId="8">
    <w:abstractNumId w:val="8"/>
  </w:num>
  <w:num w:numId="9">
    <w:abstractNumId w:val="11"/>
  </w:num>
  <w:num w:numId="10">
    <w:abstractNumId w:val="6"/>
  </w:num>
  <w:num w:numId="11">
    <w:abstractNumId w:val="4"/>
  </w:num>
  <w:num w:numId="12">
    <w:abstractNumId w:val="14"/>
  </w:num>
  <w:num w:numId="13">
    <w:abstractNumId w:val="7"/>
  </w:num>
  <w:num w:numId="14">
    <w:abstractNumId w:val="9"/>
  </w:num>
  <w:num w:numId="15">
    <w:abstractNumId w:val="10"/>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9901A3F-2D2F-402F-854B-82982553ADF4}"/>
    <w:docVar w:name="dgnword-eventsink" w:val="212062032"/>
  </w:docVars>
  <w:rsids>
    <w:rsidRoot w:val="00BB526F"/>
    <w:rsid w:val="000002F4"/>
    <w:rsid w:val="00014799"/>
    <w:rsid w:val="00024E51"/>
    <w:rsid w:val="00051678"/>
    <w:rsid w:val="00065D1A"/>
    <w:rsid w:val="000671EC"/>
    <w:rsid w:val="00085C88"/>
    <w:rsid w:val="00096591"/>
    <w:rsid w:val="000B3581"/>
    <w:rsid w:val="000C59F3"/>
    <w:rsid w:val="000C5FA6"/>
    <w:rsid w:val="000D40ED"/>
    <w:rsid w:val="000D45D5"/>
    <w:rsid w:val="000F5A6E"/>
    <w:rsid w:val="000F67FD"/>
    <w:rsid w:val="001050C9"/>
    <w:rsid w:val="00121949"/>
    <w:rsid w:val="00127624"/>
    <w:rsid w:val="0013532F"/>
    <w:rsid w:val="00155BE3"/>
    <w:rsid w:val="00193DEE"/>
    <w:rsid w:val="0019419E"/>
    <w:rsid w:val="001945FE"/>
    <w:rsid w:val="001D6451"/>
    <w:rsid w:val="001E608E"/>
    <w:rsid w:val="001E6AFD"/>
    <w:rsid w:val="00214DA9"/>
    <w:rsid w:val="002269FC"/>
    <w:rsid w:val="0023151A"/>
    <w:rsid w:val="00234899"/>
    <w:rsid w:val="00247B19"/>
    <w:rsid w:val="002608A5"/>
    <w:rsid w:val="002769F5"/>
    <w:rsid w:val="00294D0F"/>
    <w:rsid w:val="002A0EA2"/>
    <w:rsid w:val="002B166B"/>
    <w:rsid w:val="002B4491"/>
    <w:rsid w:val="002B5DC1"/>
    <w:rsid w:val="002B6D4C"/>
    <w:rsid w:val="002D2DF0"/>
    <w:rsid w:val="002D3E56"/>
    <w:rsid w:val="0030680E"/>
    <w:rsid w:val="00320C69"/>
    <w:rsid w:val="00345E4A"/>
    <w:rsid w:val="00360D9F"/>
    <w:rsid w:val="003754D1"/>
    <w:rsid w:val="00384AC7"/>
    <w:rsid w:val="003923D3"/>
    <w:rsid w:val="003924B7"/>
    <w:rsid w:val="003A4B34"/>
    <w:rsid w:val="003B1122"/>
    <w:rsid w:val="004013A9"/>
    <w:rsid w:val="0045220B"/>
    <w:rsid w:val="00462987"/>
    <w:rsid w:val="0046467C"/>
    <w:rsid w:val="00493AD4"/>
    <w:rsid w:val="004B57A2"/>
    <w:rsid w:val="004D3732"/>
    <w:rsid w:val="004D3D8E"/>
    <w:rsid w:val="004E4CF3"/>
    <w:rsid w:val="004E577F"/>
    <w:rsid w:val="005003B0"/>
    <w:rsid w:val="00507BD5"/>
    <w:rsid w:val="00510781"/>
    <w:rsid w:val="005166DA"/>
    <w:rsid w:val="0052667A"/>
    <w:rsid w:val="005270CB"/>
    <w:rsid w:val="00530B6C"/>
    <w:rsid w:val="0053168B"/>
    <w:rsid w:val="005317B9"/>
    <w:rsid w:val="005358FF"/>
    <w:rsid w:val="00536BF5"/>
    <w:rsid w:val="00552695"/>
    <w:rsid w:val="00575CE4"/>
    <w:rsid w:val="00583EB4"/>
    <w:rsid w:val="00595254"/>
    <w:rsid w:val="005B5F84"/>
    <w:rsid w:val="005B74A5"/>
    <w:rsid w:val="005C329D"/>
    <w:rsid w:val="005D2869"/>
    <w:rsid w:val="005D2EA0"/>
    <w:rsid w:val="006239AB"/>
    <w:rsid w:val="006446F4"/>
    <w:rsid w:val="006647AB"/>
    <w:rsid w:val="00670BE7"/>
    <w:rsid w:val="006A2B87"/>
    <w:rsid w:val="006A6B66"/>
    <w:rsid w:val="006B1E58"/>
    <w:rsid w:val="006B2584"/>
    <w:rsid w:val="006B29A9"/>
    <w:rsid w:val="006C09FF"/>
    <w:rsid w:val="006F5565"/>
    <w:rsid w:val="00713489"/>
    <w:rsid w:val="007357FE"/>
    <w:rsid w:val="00736517"/>
    <w:rsid w:val="00746EDB"/>
    <w:rsid w:val="0074738E"/>
    <w:rsid w:val="00753F24"/>
    <w:rsid w:val="007906C3"/>
    <w:rsid w:val="00793D5A"/>
    <w:rsid w:val="007E61C1"/>
    <w:rsid w:val="0082453F"/>
    <w:rsid w:val="0085144F"/>
    <w:rsid w:val="008574D3"/>
    <w:rsid w:val="008609BA"/>
    <w:rsid w:val="008651A8"/>
    <w:rsid w:val="00874B49"/>
    <w:rsid w:val="00877165"/>
    <w:rsid w:val="00880EA0"/>
    <w:rsid w:val="0089666B"/>
    <w:rsid w:val="008C2712"/>
    <w:rsid w:val="008D6BCB"/>
    <w:rsid w:val="00906D73"/>
    <w:rsid w:val="00910536"/>
    <w:rsid w:val="0092656D"/>
    <w:rsid w:val="0096101E"/>
    <w:rsid w:val="00961216"/>
    <w:rsid w:val="00973F58"/>
    <w:rsid w:val="009777F3"/>
    <w:rsid w:val="0098737E"/>
    <w:rsid w:val="0099058A"/>
    <w:rsid w:val="0099446C"/>
    <w:rsid w:val="009A79D7"/>
    <w:rsid w:val="009D09C4"/>
    <w:rsid w:val="00A052D8"/>
    <w:rsid w:val="00A05EC6"/>
    <w:rsid w:val="00A06ADF"/>
    <w:rsid w:val="00A53CCC"/>
    <w:rsid w:val="00A70397"/>
    <w:rsid w:val="00A86B36"/>
    <w:rsid w:val="00AB385B"/>
    <w:rsid w:val="00AC5A23"/>
    <w:rsid w:val="00AD4CC4"/>
    <w:rsid w:val="00AE6369"/>
    <w:rsid w:val="00AE6AAB"/>
    <w:rsid w:val="00B04802"/>
    <w:rsid w:val="00B140F1"/>
    <w:rsid w:val="00B164AB"/>
    <w:rsid w:val="00B32020"/>
    <w:rsid w:val="00B33828"/>
    <w:rsid w:val="00B36D1A"/>
    <w:rsid w:val="00B75EBD"/>
    <w:rsid w:val="00B83A1F"/>
    <w:rsid w:val="00B8552D"/>
    <w:rsid w:val="00BA1D26"/>
    <w:rsid w:val="00BB526F"/>
    <w:rsid w:val="00BE13FB"/>
    <w:rsid w:val="00BF17E5"/>
    <w:rsid w:val="00C114E0"/>
    <w:rsid w:val="00C12F70"/>
    <w:rsid w:val="00C302D0"/>
    <w:rsid w:val="00C31914"/>
    <w:rsid w:val="00C438C3"/>
    <w:rsid w:val="00C7226D"/>
    <w:rsid w:val="00C8190D"/>
    <w:rsid w:val="00C90854"/>
    <w:rsid w:val="00CF6D03"/>
    <w:rsid w:val="00D13242"/>
    <w:rsid w:val="00D17088"/>
    <w:rsid w:val="00D935C1"/>
    <w:rsid w:val="00DA3640"/>
    <w:rsid w:val="00DD733E"/>
    <w:rsid w:val="00DE472C"/>
    <w:rsid w:val="00DF31D4"/>
    <w:rsid w:val="00DF5B35"/>
    <w:rsid w:val="00E274F4"/>
    <w:rsid w:val="00E5404C"/>
    <w:rsid w:val="00E576FC"/>
    <w:rsid w:val="00EA0CEE"/>
    <w:rsid w:val="00EA39AF"/>
    <w:rsid w:val="00EA5B02"/>
    <w:rsid w:val="00EC4012"/>
    <w:rsid w:val="00ED16A2"/>
    <w:rsid w:val="00ED58CA"/>
    <w:rsid w:val="00EF60A0"/>
    <w:rsid w:val="00F01613"/>
    <w:rsid w:val="00F02374"/>
    <w:rsid w:val="00F13909"/>
    <w:rsid w:val="00F36D40"/>
    <w:rsid w:val="00F47C1B"/>
    <w:rsid w:val="00F56825"/>
    <w:rsid w:val="00F91E31"/>
    <w:rsid w:val="00FB1DA6"/>
    <w:rsid w:val="00FB7DD6"/>
    <w:rsid w:val="00FC6690"/>
    <w:rsid w:val="00FD7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E94AD6-C48A-4515-ACAD-7FA2815C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7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70CB"/>
    <w:pPr>
      <w:tabs>
        <w:tab w:val="center" w:pos="4153"/>
        <w:tab w:val="right" w:pos="8306"/>
      </w:tabs>
    </w:pPr>
  </w:style>
  <w:style w:type="character" w:customStyle="1" w:styleId="FooterChar">
    <w:name w:val="Footer Char"/>
    <w:basedOn w:val="DefaultParagraphFont"/>
    <w:link w:val="Footer"/>
    <w:uiPriority w:val="99"/>
    <w:semiHidden/>
    <w:rsid w:val="004E577F"/>
    <w:rPr>
      <w:lang w:eastAsia="en-US"/>
    </w:rPr>
  </w:style>
  <w:style w:type="character" w:styleId="PageNumber">
    <w:name w:val="page number"/>
    <w:basedOn w:val="DefaultParagraphFont"/>
    <w:uiPriority w:val="99"/>
    <w:rsid w:val="005270CB"/>
    <w:rPr>
      <w:rFonts w:cs="Times New Roman"/>
    </w:rPr>
  </w:style>
  <w:style w:type="paragraph" w:customStyle="1" w:styleId="Default">
    <w:name w:val="Default"/>
    <w:rsid w:val="00D935C1"/>
    <w:pPr>
      <w:autoSpaceDE w:val="0"/>
      <w:autoSpaceDN w:val="0"/>
      <w:adjustRightInd w:val="0"/>
    </w:pPr>
    <w:rPr>
      <w:color w:val="000000"/>
      <w:sz w:val="24"/>
      <w:szCs w:val="24"/>
      <w:lang w:val="en-US" w:eastAsia="en-US"/>
    </w:rPr>
  </w:style>
  <w:style w:type="character" w:styleId="Hyperlink">
    <w:name w:val="Hyperlink"/>
    <w:basedOn w:val="DefaultParagraphFont"/>
    <w:uiPriority w:val="99"/>
    <w:rsid w:val="00127624"/>
    <w:rPr>
      <w:rFonts w:cs="Times New Roman"/>
      <w:color w:val="0000FF"/>
      <w:u w:val="single"/>
    </w:rPr>
  </w:style>
  <w:style w:type="paragraph" w:styleId="ListParagraph">
    <w:name w:val="List Paragraph"/>
    <w:basedOn w:val="Normal"/>
    <w:uiPriority w:val="34"/>
    <w:qFormat/>
    <w:rsid w:val="00A70397"/>
    <w:pPr>
      <w:spacing w:after="200" w:line="276" w:lineRule="auto"/>
      <w:ind w:left="720"/>
      <w:contextualSpacing/>
    </w:pPr>
    <w:rPr>
      <w:rFonts w:ascii="Arial" w:hAnsi="Arial" w:cs="Arial"/>
      <w:sz w:val="24"/>
      <w:szCs w:val="22"/>
    </w:rPr>
  </w:style>
  <w:style w:type="paragraph" w:styleId="BalloonText">
    <w:name w:val="Balloon Text"/>
    <w:basedOn w:val="Normal"/>
    <w:link w:val="BalloonTextChar"/>
    <w:uiPriority w:val="99"/>
    <w:semiHidden/>
    <w:rsid w:val="00C31914"/>
    <w:rPr>
      <w:rFonts w:ascii="Tahoma" w:hAnsi="Tahoma" w:cs="Tahoma"/>
      <w:sz w:val="16"/>
      <w:szCs w:val="16"/>
    </w:rPr>
  </w:style>
  <w:style w:type="character" w:customStyle="1" w:styleId="BalloonTextChar">
    <w:name w:val="Balloon Text Char"/>
    <w:basedOn w:val="DefaultParagraphFont"/>
    <w:link w:val="BalloonText"/>
    <w:uiPriority w:val="99"/>
    <w:semiHidden/>
    <w:rsid w:val="004E577F"/>
    <w:rPr>
      <w:rFonts w:ascii="Tahoma" w:hAnsi="Tahoma" w:cs="Tahoma"/>
      <w:sz w:val="16"/>
      <w:szCs w:val="16"/>
      <w:lang w:eastAsia="en-US"/>
    </w:rPr>
  </w:style>
  <w:style w:type="character" w:styleId="CommentReference">
    <w:name w:val="annotation reference"/>
    <w:basedOn w:val="DefaultParagraphFont"/>
    <w:rsid w:val="000002F4"/>
    <w:rPr>
      <w:sz w:val="16"/>
      <w:szCs w:val="16"/>
    </w:rPr>
  </w:style>
  <w:style w:type="paragraph" w:styleId="CommentText">
    <w:name w:val="annotation text"/>
    <w:basedOn w:val="Normal"/>
    <w:link w:val="CommentTextChar"/>
    <w:rsid w:val="000002F4"/>
  </w:style>
  <w:style w:type="character" w:customStyle="1" w:styleId="CommentTextChar">
    <w:name w:val="Comment Text Char"/>
    <w:basedOn w:val="DefaultParagraphFont"/>
    <w:link w:val="CommentText"/>
    <w:rsid w:val="000002F4"/>
    <w:rPr>
      <w:lang w:eastAsia="en-US"/>
    </w:rPr>
  </w:style>
  <w:style w:type="paragraph" w:styleId="CommentSubject">
    <w:name w:val="annotation subject"/>
    <w:basedOn w:val="CommentText"/>
    <w:next w:val="CommentText"/>
    <w:link w:val="CommentSubjectChar"/>
    <w:rsid w:val="000002F4"/>
    <w:rPr>
      <w:b/>
      <w:bCs/>
    </w:rPr>
  </w:style>
  <w:style w:type="character" w:customStyle="1" w:styleId="CommentSubjectChar">
    <w:name w:val="Comment Subject Char"/>
    <w:basedOn w:val="CommentTextChar"/>
    <w:link w:val="CommentSubject"/>
    <w:rsid w:val="000002F4"/>
    <w:rPr>
      <w:b/>
      <w:bCs/>
      <w:lang w:eastAsia="en-US"/>
    </w:rPr>
  </w:style>
  <w:style w:type="paragraph" w:styleId="Revision">
    <w:name w:val="Revision"/>
    <w:hidden/>
    <w:uiPriority w:val="99"/>
    <w:semiHidden/>
    <w:rsid w:val="00CF6D0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listings@courts.act.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CD0DB-79CB-4E3C-AA5E-C971ACCC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4994</Characters>
  <Application>Microsoft Office Word</Application>
  <DocSecurity>6</DocSecurity>
  <Lines>118</Lines>
  <Paragraphs>71</Paragraphs>
  <ScaleCrop>false</ScaleCrop>
  <HeadingPairs>
    <vt:vector size="2" baseType="variant">
      <vt:variant>
        <vt:lpstr>Title</vt:lpstr>
      </vt:variant>
      <vt:variant>
        <vt:i4>1</vt:i4>
      </vt:variant>
    </vt:vector>
  </HeadingPairs>
  <TitlesOfParts>
    <vt:vector size="1" baseType="lpstr">
      <vt:lpstr>MAGISTRATES COURT OF THE AUSTRALIAN CAPITAL TERRITORY</vt:lpstr>
    </vt:vector>
  </TitlesOfParts>
  <Company>ACT Government</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OF THE AUSTRALIAN CAPITAL TERRITORY</dc:title>
  <dc:creator>Karen Fryar</dc:creator>
  <cp:lastModifiedBy>Rodziewicz, Victor</cp:lastModifiedBy>
  <cp:revision>2</cp:revision>
  <cp:lastPrinted>2017-12-15T05:08:00Z</cp:lastPrinted>
  <dcterms:created xsi:type="dcterms:W3CDTF">2017-12-15T05:14:00Z</dcterms:created>
  <dcterms:modified xsi:type="dcterms:W3CDTF">2017-12-15T05:14:00Z</dcterms:modified>
</cp:coreProperties>
</file>